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8792C" w14:textId="77777777" w:rsidR="00A7643B" w:rsidRPr="00B81E5B" w:rsidRDefault="00A7643B" w:rsidP="00A7643B">
      <w:pPr>
        <w:pStyle w:val="Ttulo1"/>
      </w:pPr>
      <w:r w:rsidRPr="00B81E5B">
        <w:rPr>
          <w:noProof/>
        </w:rPr>
        <w:drawing>
          <wp:inline distT="0" distB="0" distL="0" distR="0" wp14:anchorId="434DA74C" wp14:editId="1517EBAC">
            <wp:extent cx="4892040" cy="4892040"/>
            <wp:effectExtent l="0" t="0" r="3810" b="3810"/>
            <wp:docPr id="1202296094" name="Imagen 2"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El contenido generado por IA puede ser incorrec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2040" cy="4892040"/>
                    </a:xfrm>
                    <a:prstGeom prst="rect">
                      <a:avLst/>
                    </a:prstGeom>
                    <a:noFill/>
                    <a:ln>
                      <a:noFill/>
                    </a:ln>
                  </pic:spPr>
                </pic:pic>
              </a:graphicData>
            </a:graphic>
          </wp:inline>
        </w:drawing>
      </w:r>
    </w:p>
    <w:p w14:paraId="16CD60D5" w14:textId="77777777" w:rsidR="00A7643B" w:rsidRPr="00B81E5B" w:rsidRDefault="00A7643B" w:rsidP="00A7643B"/>
    <w:p w14:paraId="600888AB" w14:textId="77777777" w:rsidR="00A7643B" w:rsidRPr="00B81E5B" w:rsidRDefault="00A7643B" w:rsidP="00A7643B">
      <w:pPr>
        <w:jc w:val="center"/>
      </w:pPr>
      <w:r w:rsidRPr="00B81E5B">
        <w:rPr>
          <w:b/>
          <w:bCs/>
        </w:rPr>
        <w:t>Editado en Oviedo, Asturias</w:t>
      </w:r>
    </w:p>
    <w:p w14:paraId="426FF84A" w14:textId="77777777" w:rsidR="00A7643B" w:rsidRPr="00B81E5B" w:rsidRDefault="00A7643B" w:rsidP="00A7643B">
      <w:pPr>
        <w:jc w:val="center"/>
      </w:pPr>
      <w:r w:rsidRPr="00B81E5B">
        <w:rPr>
          <w:b/>
          <w:bCs/>
        </w:rPr>
        <w:t xml:space="preserve">Por </w:t>
      </w:r>
      <w:proofErr w:type="spellStart"/>
      <w:r w:rsidRPr="00B81E5B">
        <w:rPr>
          <w:b/>
          <w:bCs/>
        </w:rPr>
        <w:t>AsturiasPublica</w:t>
      </w:r>
      <w:proofErr w:type="spellEnd"/>
    </w:p>
    <w:p w14:paraId="5C950580" w14:textId="77777777" w:rsidR="00A7643B" w:rsidRPr="00B81E5B" w:rsidRDefault="00A7643B" w:rsidP="00A7643B">
      <w:pPr>
        <w:jc w:val="center"/>
      </w:pPr>
      <w:r w:rsidRPr="00B81E5B">
        <w:rPr>
          <w:b/>
          <w:bCs/>
        </w:rPr>
        <w:t>*</w:t>
      </w:r>
      <w:proofErr w:type="spellStart"/>
      <w:r w:rsidRPr="00B81E5B">
        <w:rPr>
          <w:b/>
          <w:bCs/>
        </w:rPr>
        <w:t>AsturiasPublica</w:t>
      </w:r>
      <w:proofErr w:type="spellEnd"/>
      <w:r w:rsidRPr="00B81E5B">
        <w:rPr>
          <w:b/>
          <w:bCs/>
        </w:rPr>
        <w:t xml:space="preserve"> no se hace responsable de las opiniones de sus colaboradores ni del contenido de los artículos firmados por los autores ajenos al equipo de redacción. Queda prohibida la reproducción (total o parcial) de los contenidos de la publicación por cualquier medio o procedimiento sin la autorización previa de los autores.</w:t>
      </w:r>
    </w:p>
    <w:p w14:paraId="5C00D870" w14:textId="77777777" w:rsidR="00A7643B" w:rsidRPr="00B81E5B" w:rsidRDefault="00A7643B" w:rsidP="00A7643B">
      <w:pPr>
        <w:jc w:val="center"/>
      </w:pPr>
      <w:r w:rsidRPr="00B81E5B">
        <w:rPr>
          <w:b/>
          <w:bCs/>
        </w:rPr>
        <w:t>Edición: asturiaspublica@outlook.es</w:t>
      </w:r>
    </w:p>
    <w:p w14:paraId="277C31D5" w14:textId="77777777" w:rsidR="00A7643B" w:rsidRPr="00B81E5B" w:rsidRDefault="00A7643B" w:rsidP="00A7643B">
      <w:pPr>
        <w:jc w:val="center"/>
      </w:pPr>
      <w:r w:rsidRPr="00B81E5B">
        <w:rPr>
          <w:b/>
          <w:bCs/>
        </w:rPr>
        <w:t>Publicidad: asturiaspublica@outlook.es (ASUNTO: PUBLICIDAD)</w:t>
      </w:r>
    </w:p>
    <w:p w14:paraId="6290767E" w14:textId="77777777" w:rsidR="00A7643B" w:rsidRDefault="00A7643B" w:rsidP="00A7643B">
      <w:pPr>
        <w:jc w:val="center"/>
      </w:pPr>
      <w:r w:rsidRPr="00B81E5B">
        <w:rPr>
          <w:b/>
          <w:bCs/>
        </w:rPr>
        <w:t>AS 02927-2022</w:t>
      </w:r>
    </w:p>
    <w:p w14:paraId="5B1EAFDD" w14:textId="77777777" w:rsidR="00A7643B" w:rsidRDefault="00A7643B" w:rsidP="00A7643B">
      <w:pPr>
        <w:jc w:val="center"/>
        <w:rPr>
          <w:b/>
          <w:bCs/>
        </w:rPr>
      </w:pPr>
      <w:r w:rsidRPr="00B81E5B">
        <w:rPr>
          <w:b/>
          <w:bCs/>
        </w:rPr>
        <w:t>ISSN: 2952-0614</w:t>
      </w:r>
    </w:p>
    <w:p w14:paraId="63B594C4" w14:textId="77777777" w:rsidR="00AC331E" w:rsidRDefault="00AC331E"/>
    <w:p w14:paraId="56A3D21D" w14:textId="77777777" w:rsidR="00A7643B" w:rsidRPr="00A7643B" w:rsidRDefault="00A7643B" w:rsidP="00A7643B">
      <w:pPr>
        <w:jc w:val="both"/>
      </w:pPr>
      <w:r w:rsidRPr="00A7643B">
        <w:rPr>
          <w:b/>
          <w:bCs/>
        </w:rPr>
        <w:lastRenderedPageBreak/>
        <w:t>El papel del auxiliar administrativo en el proceso de admisión y gestión de pacientes en el ámbito hospitalario</w:t>
      </w:r>
    </w:p>
    <w:p w14:paraId="24AF7DB4" w14:textId="77777777" w:rsidR="00A7643B" w:rsidRPr="00A7643B" w:rsidRDefault="00A7643B" w:rsidP="00A7643B">
      <w:pPr>
        <w:jc w:val="both"/>
        <w:rPr>
          <w:b/>
          <w:bCs/>
        </w:rPr>
      </w:pPr>
      <w:r w:rsidRPr="00A7643B">
        <w:rPr>
          <w:b/>
          <w:bCs/>
        </w:rPr>
        <w:t>Resumen</w:t>
      </w:r>
    </w:p>
    <w:p w14:paraId="7B762DD7" w14:textId="77777777" w:rsidR="00A7643B" w:rsidRPr="00A7643B" w:rsidRDefault="00A7643B" w:rsidP="00A7643B">
      <w:pPr>
        <w:jc w:val="both"/>
      </w:pPr>
      <w:r w:rsidRPr="00A7643B">
        <w:t>El servicio de admisión constituye la puerta de entrada organizativa de cualquier centro hospitalario y el auxiliar administrativo es, en la práctica totalidad de los casos, el primer profesional con el que el paciente y su familia entran en contacto. Este trabajo revisa, mediante una revisión narrativa de la literatura y del marco normativo vigente, las funciones que desempeña el auxiliar administrativo en el proceso de admisión, ingreso, traslado y alta de pacientes, así como su papel en la coordinación entre los servicios clínicos y las unidades de gestión. Los resultados muestran que estas funciones han evolucionado desde tareas puramente registrales hacia un papel de coordinación activa del flujo asistencial, estrechamente vinculado a la seguridad del paciente (identificación inequívoca, gestión de camas, listas de espera) y a la calidad percibida del servicio. Se concluye que la correcta cualificación, formación continuada y dotación de medios técnicos de este perfil profesional es un factor determinante, aunque frecuentemente infravalorado, de la eficiencia y la seguridad del sistema hospitalario.</w:t>
      </w:r>
    </w:p>
    <w:p w14:paraId="7FC98DEF" w14:textId="77777777" w:rsidR="00A7643B" w:rsidRPr="00A7643B" w:rsidRDefault="00A7643B" w:rsidP="00A7643B">
      <w:pPr>
        <w:jc w:val="both"/>
      </w:pPr>
      <w:r w:rsidRPr="00A7643B">
        <w:rPr>
          <w:b/>
          <w:bCs/>
        </w:rPr>
        <w:t xml:space="preserve">Palabras clave: </w:t>
      </w:r>
      <w:r w:rsidRPr="00A7643B">
        <w:rPr>
          <w:i/>
          <w:iCs/>
        </w:rPr>
        <w:t>Auxiliar administrativo; Admisión hospitalaria; Gestión de pacientes; Documentación clínica; Organización y administración hospitalaria.</w:t>
      </w:r>
    </w:p>
    <w:p w14:paraId="7256FB56" w14:textId="77777777" w:rsidR="00A7643B" w:rsidRPr="00A7643B" w:rsidRDefault="00A7643B" w:rsidP="00A7643B">
      <w:pPr>
        <w:jc w:val="both"/>
        <w:rPr>
          <w:b/>
          <w:bCs/>
          <w:lang w:val="en-GB"/>
        </w:rPr>
      </w:pPr>
      <w:r w:rsidRPr="00A7643B">
        <w:rPr>
          <w:b/>
          <w:bCs/>
          <w:lang w:val="en-GB"/>
        </w:rPr>
        <w:t>Abstract</w:t>
      </w:r>
    </w:p>
    <w:p w14:paraId="0DF519A4" w14:textId="77777777" w:rsidR="00A7643B" w:rsidRPr="00A7643B" w:rsidRDefault="00A7643B" w:rsidP="00A7643B">
      <w:pPr>
        <w:jc w:val="both"/>
        <w:rPr>
          <w:lang w:val="en-GB"/>
        </w:rPr>
      </w:pPr>
      <w:r w:rsidRPr="00A7643B">
        <w:rPr>
          <w:lang w:val="en-GB"/>
        </w:rPr>
        <w:t>The admission department is the organisational entry point of any hospital, and the administrative assistant is, in practice, the first professional the patient and family interact with. This paper reviews, through a narrative review of the literature and current regulations, the functions performed by administrative assistants in the admission, transfer and discharge process, and their coordinating role between clinical and management units. Results show that these functions have evolved from purely clerical tasks towards an active coordination role closely linked to patient safety and perceived quality of care. Adequate qualification, continuous training and technical resourcing of this professional profile are concluded to be a determining, though frequently underestimated, factor in hospital efficiency and safety.</w:t>
      </w:r>
    </w:p>
    <w:p w14:paraId="0EE564C0" w14:textId="77777777" w:rsidR="00A7643B" w:rsidRPr="00A7643B" w:rsidRDefault="00A7643B" w:rsidP="00A7643B">
      <w:pPr>
        <w:jc w:val="both"/>
        <w:rPr>
          <w:lang w:val="en-GB"/>
        </w:rPr>
      </w:pPr>
      <w:r w:rsidRPr="00A7643B">
        <w:rPr>
          <w:b/>
          <w:bCs/>
          <w:lang w:val="en-GB"/>
        </w:rPr>
        <w:t xml:space="preserve">Keywords: </w:t>
      </w:r>
      <w:r w:rsidRPr="00A7643B">
        <w:rPr>
          <w:i/>
          <w:iCs/>
          <w:lang w:val="en-GB"/>
        </w:rPr>
        <w:t>Administrative assistant; Hospital admission; Patient management; Clinical documentation; Hospital organisation and administration.</w:t>
      </w:r>
    </w:p>
    <w:p w14:paraId="1156C7C2" w14:textId="77777777" w:rsidR="00A7643B" w:rsidRPr="00A7643B" w:rsidRDefault="00A7643B" w:rsidP="00A7643B">
      <w:pPr>
        <w:jc w:val="both"/>
        <w:rPr>
          <w:b/>
          <w:bCs/>
        </w:rPr>
      </w:pPr>
      <w:r w:rsidRPr="00A7643B">
        <w:rPr>
          <w:b/>
          <w:bCs/>
        </w:rPr>
        <w:t>1. Introducción</w:t>
      </w:r>
    </w:p>
    <w:p w14:paraId="493A252F" w14:textId="77777777" w:rsidR="00A7643B" w:rsidRPr="00A7643B" w:rsidRDefault="00A7643B" w:rsidP="00A7643B">
      <w:pPr>
        <w:jc w:val="both"/>
      </w:pPr>
      <w:r w:rsidRPr="00A7643B">
        <w:t xml:space="preserve">La organización hospitalaria moderna se sustenta en la coordinación de múltiples unidades clínicas y no clínicas que deben funcionar de manera sincronizada para garantizar la continuidad asistencial. Dentro de esta estructura, el servicio de </w:t>
      </w:r>
      <w:r w:rsidRPr="00A7643B">
        <w:lastRenderedPageBreak/>
        <w:t>admisión y documentación clínica desempeña una función nuclear: es la unidad encargada de gestionar la entrada, la circulación interna y la salida de los pacientes del sistema hospitalario, así como de generar y mantener la información administrativa que servirá de soporte a todo el proceso asistencial (1,2).</w:t>
      </w:r>
    </w:p>
    <w:p w14:paraId="56B14F65" w14:textId="77777777" w:rsidR="00A7643B" w:rsidRPr="00A7643B" w:rsidRDefault="00A7643B" w:rsidP="00A7643B">
      <w:pPr>
        <w:jc w:val="both"/>
      </w:pPr>
      <w:r w:rsidRPr="00A7643B">
        <w:t>El auxiliar administrativo, integrado habitualmente en las unidades de admisión, atención al paciente, archivo de historias clínicas o secretarías de servicios clínicos, es el profesional que materializa en la práctica diaria buena parte de estas funciones. Su trabajo, lejos de limitarse a tareas de registro, condiciona directamente aspectos tan relevantes como la correcta identificación del paciente, la disponibilidad de camas, la gestión de las listas de espera quirúrgicas y de consultas externas, o la coordinación entre los distintos servicios implicados en la atención (3).</w:t>
      </w:r>
    </w:p>
    <w:p w14:paraId="6B3FAEEE" w14:textId="77777777" w:rsidR="00A7643B" w:rsidRPr="00A7643B" w:rsidRDefault="00A7643B" w:rsidP="00A7643B">
      <w:pPr>
        <w:jc w:val="both"/>
      </w:pPr>
      <w:r w:rsidRPr="00A7643B">
        <w:t>A pesar de su relevancia, la literatura científica sobre el papel específico del auxiliar administrativo en el ámbito hospitalario es escasa en comparación con la existente sobre otras categorías profesionales sanitarias, y su función suele describirse de forma tangencial dentro de estudios más amplios sobre gestión hospitalaria o calidad asistencial. El objetivo de este trabajo es realizar una revisión narrativa que sistematice las principales funciones del auxiliar administrativo en el proceso de admisión y gestión de pacientes, analice su relación con la seguridad del paciente y la calidad asistencial, e identifique los principales retos a los que se enfrenta este perfil profesional en el contexto actual del Sistema Nacional de Salud.</w:t>
      </w:r>
    </w:p>
    <w:p w14:paraId="0526C71E" w14:textId="77777777" w:rsidR="00A7643B" w:rsidRPr="00A7643B" w:rsidRDefault="00A7643B" w:rsidP="00A7643B">
      <w:pPr>
        <w:jc w:val="both"/>
        <w:rPr>
          <w:b/>
          <w:bCs/>
        </w:rPr>
      </w:pPr>
      <w:r w:rsidRPr="00A7643B">
        <w:rPr>
          <w:b/>
          <w:bCs/>
        </w:rPr>
        <w:t>2. Metodología</w:t>
      </w:r>
    </w:p>
    <w:p w14:paraId="3BB177AE" w14:textId="77777777" w:rsidR="00A7643B" w:rsidRPr="00A7643B" w:rsidRDefault="00A7643B" w:rsidP="00A7643B">
      <w:pPr>
        <w:jc w:val="both"/>
      </w:pPr>
      <w:r w:rsidRPr="00A7643B">
        <w:t xml:space="preserve">Se ha realizado una revisión narrativa de la literatura y del marco normativo aplicable, sin restricción de diseño de estudio, dado el carácter descriptivo y organizativo del objeto de análisis. Se han consultado las bases de datos Google Académico, Scielo, IBECS y Dialnet, así como los portales institucionales del Ministerio de Sanidad y de las consejerías de sanidad autonómicas, empleando los términos «admisión hospitalaria», «auxiliar administrativo sanitario», «gestión de pacientes», «documentación clínica» y sus equivalentes en inglés («hospital </w:t>
      </w:r>
      <w:proofErr w:type="spellStart"/>
      <w:r w:rsidRPr="00A7643B">
        <w:t>admission</w:t>
      </w:r>
      <w:proofErr w:type="spellEnd"/>
      <w:r w:rsidRPr="00A7643B">
        <w:t xml:space="preserve">», «administrative </w:t>
      </w:r>
      <w:proofErr w:type="spellStart"/>
      <w:r w:rsidRPr="00A7643B">
        <w:t>assistant</w:t>
      </w:r>
      <w:proofErr w:type="spellEnd"/>
      <w:r w:rsidRPr="00A7643B">
        <w:t>», «</w:t>
      </w:r>
      <w:proofErr w:type="spellStart"/>
      <w:r w:rsidRPr="00A7643B">
        <w:t>patient</w:t>
      </w:r>
      <w:proofErr w:type="spellEnd"/>
      <w:r w:rsidRPr="00A7643B">
        <w:t xml:space="preserve"> </w:t>
      </w:r>
      <w:proofErr w:type="spellStart"/>
      <w:r w:rsidRPr="00A7643B">
        <w:t>flow</w:t>
      </w:r>
      <w:proofErr w:type="spellEnd"/>
      <w:r w:rsidRPr="00A7643B">
        <w:t xml:space="preserve"> </w:t>
      </w:r>
      <w:proofErr w:type="spellStart"/>
      <w:r w:rsidRPr="00A7643B">
        <w:t>management</w:t>
      </w:r>
      <w:proofErr w:type="spellEnd"/>
      <w:r w:rsidRPr="00A7643B">
        <w:t>»).</w:t>
      </w:r>
    </w:p>
    <w:p w14:paraId="22492761" w14:textId="77777777" w:rsidR="00A7643B" w:rsidRPr="00A7643B" w:rsidRDefault="00A7643B" w:rsidP="00A7643B">
      <w:pPr>
        <w:jc w:val="both"/>
      </w:pPr>
      <w:r w:rsidRPr="00A7643B">
        <w:t>Se han revisado, además, los textos legales de referencia en materia de organización sanitaria: la Ley 14/1986, de 25 de abril, General de Sanidad; la Ley 41/2002, de 14 de noviembre, básica reguladora de la autonomía del paciente y de derechos y obligaciones en materia de información y documentación clínica; y los reglamentos de organización y funcionamiento (ROF) de varios centros hospitalarios públicos españoles, disponibles públicamente en las sedes electrónicas de los correspondientes servicios de salud. Se han priorizado documentos publicados entre 2010 y 2026, admitiendo referencias legales de mayor antigüedad cuando se trata de normas troncales aún vigentes.</w:t>
      </w:r>
    </w:p>
    <w:p w14:paraId="6B786D8E" w14:textId="77777777" w:rsidR="00A7643B" w:rsidRPr="00A7643B" w:rsidRDefault="00A7643B" w:rsidP="00A7643B">
      <w:pPr>
        <w:jc w:val="both"/>
      </w:pPr>
      <w:r w:rsidRPr="00A7643B">
        <w:lastRenderedPageBreak/>
        <w:t>La síntesis de la información se ha organizado en torno a tres ejes: (a) las funciones específicas del auxiliar administrativo en el circuito de admisión, ingreso, traslado y alta; (b) su relación con la seguridad del paciente y la calidad asistencial; y (c) los retos y líneas de mejora identificados en la literatura y en la normativa revisada.</w:t>
      </w:r>
    </w:p>
    <w:p w14:paraId="060FDF12" w14:textId="77777777" w:rsidR="00A7643B" w:rsidRPr="00A7643B" w:rsidRDefault="00A7643B" w:rsidP="00A7643B">
      <w:pPr>
        <w:jc w:val="both"/>
        <w:rPr>
          <w:b/>
          <w:bCs/>
        </w:rPr>
      </w:pPr>
      <w:r w:rsidRPr="00A7643B">
        <w:rPr>
          <w:b/>
          <w:bCs/>
        </w:rPr>
        <w:t>3. Resultados</w:t>
      </w:r>
    </w:p>
    <w:p w14:paraId="29ED5A08" w14:textId="77777777" w:rsidR="00A7643B" w:rsidRPr="00A7643B" w:rsidRDefault="00A7643B" w:rsidP="00A7643B">
      <w:pPr>
        <w:jc w:val="both"/>
      </w:pPr>
      <w:r w:rsidRPr="00A7643B">
        <w:t>El análisis de las fuentes consultadas permite agrupar las funciones del auxiliar administrativo en el proceso de admisión y gestión de pacientes en los siguientes bloques:</w:t>
      </w:r>
    </w:p>
    <w:p w14:paraId="11A3A9FE" w14:textId="77777777" w:rsidR="00A7643B" w:rsidRPr="00A7643B" w:rsidRDefault="00A7643B" w:rsidP="00A7643B">
      <w:pPr>
        <w:numPr>
          <w:ilvl w:val="0"/>
          <w:numId w:val="1"/>
        </w:numPr>
        <w:jc w:val="both"/>
      </w:pPr>
      <w:r w:rsidRPr="00A7643B">
        <w:t>Identificación y registro del paciente: apertura de episodio asistencial, verificación de datos de identidad y de tarjeta sanitaria, asignación del número de historia clínica y comprobación de la ausencia de duplicidades, un aspecto crítico para evitar errores de identificación que pueden derivar en incidentes de seguridad del paciente (4).</w:t>
      </w:r>
    </w:p>
    <w:p w14:paraId="4EBD3AE2" w14:textId="77777777" w:rsidR="00A7643B" w:rsidRPr="00A7643B" w:rsidRDefault="00A7643B" w:rsidP="00A7643B">
      <w:pPr>
        <w:numPr>
          <w:ilvl w:val="0"/>
          <w:numId w:val="1"/>
        </w:numPr>
        <w:jc w:val="both"/>
      </w:pPr>
      <w:r w:rsidRPr="00A7643B">
        <w:t>Gestión de la admisión propiamente dicha: tramitación de ingresos programados y urgentes, asignación de camas en coordinación con los servicios clínicos y con la unidad de gestión de camas, y comunicación con el paciente y la familia sobre los trámites administrativos del ingreso.</w:t>
      </w:r>
    </w:p>
    <w:p w14:paraId="4C88C020" w14:textId="77777777" w:rsidR="00A7643B" w:rsidRPr="00A7643B" w:rsidRDefault="00A7643B" w:rsidP="00A7643B">
      <w:pPr>
        <w:numPr>
          <w:ilvl w:val="0"/>
          <w:numId w:val="1"/>
        </w:numPr>
        <w:jc w:val="both"/>
      </w:pPr>
      <w:r w:rsidRPr="00A7643B">
        <w:t>Gestión de traslados internos y altas: coordinación de traslados entre servicios o centros, tramitación administrativa del alta hospitalaria, y generación de la documentación asociada (informes de alta, partes de traslado, gestión de transporte sanitario si procede).</w:t>
      </w:r>
    </w:p>
    <w:p w14:paraId="353F652A" w14:textId="77777777" w:rsidR="00A7643B" w:rsidRPr="00A7643B" w:rsidRDefault="00A7643B" w:rsidP="00A7643B">
      <w:pPr>
        <w:numPr>
          <w:ilvl w:val="0"/>
          <w:numId w:val="1"/>
        </w:numPr>
        <w:jc w:val="both"/>
      </w:pPr>
      <w:r w:rsidRPr="00A7643B">
        <w:t>Gestión de listas de espera y citaciones: mantenimiento de las listas de espera quirúrgica y de consultas externas, citación de pacientes conforme a los criterios de priorización clínica establecidos, y comunicación de incidencias (anulaciones, reprogramaciones).</w:t>
      </w:r>
    </w:p>
    <w:p w14:paraId="5C18D86B" w14:textId="77777777" w:rsidR="00A7643B" w:rsidRPr="00A7643B" w:rsidRDefault="00A7643B" w:rsidP="00A7643B">
      <w:pPr>
        <w:numPr>
          <w:ilvl w:val="0"/>
          <w:numId w:val="1"/>
        </w:numPr>
        <w:jc w:val="both"/>
      </w:pPr>
      <w:r w:rsidRPr="00A7643B">
        <w:t>Soporte documental y archivo: colaboración en la gestión del archivo de historias clínicas, digitalización de documentación y soporte a los profesionales clínicos en la localización de información administrativa del paciente.</w:t>
      </w:r>
    </w:p>
    <w:p w14:paraId="40336ABF" w14:textId="77777777" w:rsidR="00A7643B" w:rsidRPr="00A7643B" w:rsidRDefault="00A7643B" w:rsidP="00A7643B">
      <w:pPr>
        <w:numPr>
          <w:ilvl w:val="0"/>
          <w:numId w:val="1"/>
        </w:numPr>
        <w:jc w:val="both"/>
      </w:pPr>
      <w:r w:rsidRPr="00A7643B">
        <w:t>Atención e información al usuario: resolución de dudas administrativas de pacientes y familiares, gestión de reclamaciones y sugerencias de primer nivel, y derivación a los servicios de atención al paciente cuando procede.</w:t>
      </w:r>
    </w:p>
    <w:p w14:paraId="0F92EE1E" w14:textId="77777777" w:rsidR="00A7643B" w:rsidRPr="00A7643B" w:rsidRDefault="00A7643B" w:rsidP="00A7643B">
      <w:pPr>
        <w:jc w:val="both"/>
      </w:pPr>
      <w:r w:rsidRPr="00A7643B">
        <w:t xml:space="preserve">La revisión de la literatura muestra un consenso relativamente amplio en torno a la idea de que la calidad del proceso de admisión influye de forma directa en la seguridad del paciente, especialmente en lo relativo a la identificación inequívoca (pulseras identificativas, verificación cruzada de datos) y a la disponibilidad efectiva de camas y recursos en el momento del ingreso (4,5). Asimismo, se </w:t>
      </w:r>
      <w:r w:rsidRPr="00A7643B">
        <w:lastRenderedPageBreak/>
        <w:t>identifica una tendencia creciente hacia la incorporación de herramientas informáticas de gestión de pacientes (sistemas de información hospitalaria, HIS) que han transformado buena parte de las tareas antes realizadas en soporte papel, exigiendo al auxiliar administrativo nuevas competencias digitales (6).</w:t>
      </w:r>
    </w:p>
    <w:p w14:paraId="12C5A861" w14:textId="77777777" w:rsidR="00A7643B" w:rsidRPr="00A7643B" w:rsidRDefault="00A7643B" w:rsidP="00A7643B">
      <w:pPr>
        <w:jc w:val="both"/>
        <w:rPr>
          <w:b/>
          <w:bCs/>
        </w:rPr>
      </w:pPr>
      <w:r w:rsidRPr="00A7643B">
        <w:rPr>
          <w:b/>
          <w:bCs/>
        </w:rPr>
        <w:t>4. Discusión</w:t>
      </w:r>
    </w:p>
    <w:p w14:paraId="43D93C8C" w14:textId="77777777" w:rsidR="00A7643B" w:rsidRPr="00A7643B" w:rsidRDefault="00A7643B" w:rsidP="00A7643B">
      <w:pPr>
        <w:jc w:val="both"/>
      </w:pPr>
      <w:r w:rsidRPr="00A7643B">
        <w:t>Los resultados de esta revisión confirman que el auxiliar administrativo desempeña un papel mucho más amplio y complejo del que su denominación profesional podría sugerir. Lejos de tratarse de una función meramente burocrática, su actividad incide directamente en dimensiones clave de la calidad asistencial: la seguridad del paciente (a través de la identificación correcta y la trazabilidad de la información), la eficiencia organizativa (a través de la gestión de camas y listas de espera) y la experiencia del paciente (a través de la información y atención directa que proporciona en los momentos iniciales del contacto con el hospital).</w:t>
      </w:r>
    </w:p>
    <w:p w14:paraId="7FF4A03F" w14:textId="77777777" w:rsidR="00A7643B" w:rsidRPr="00A7643B" w:rsidRDefault="00A7643B" w:rsidP="00A7643B">
      <w:pPr>
        <w:jc w:val="both"/>
      </w:pPr>
      <w:r w:rsidRPr="00A7643B">
        <w:t>Uno de los principales retos identificados es la necesidad de formación continuada, tanto en materia de sistemas de información hospitalaria como en protocolos de seguridad del paciente y en habilidades de comunicación y atención al usuario. La creciente digitalización de los procesos de admisión, unida a la exigencia normativa de protección de datos de salud (que se desarrolla con mayor detalle en otra de las publicaciones de esta serie), añade una capa adicional de responsabilidad a un perfil profesional que tradicionalmente ha recibido menor atención formativa específica que otras categorías sanitarias.</w:t>
      </w:r>
    </w:p>
    <w:p w14:paraId="66B48579" w14:textId="77777777" w:rsidR="00A7643B" w:rsidRPr="00A7643B" w:rsidRDefault="00A7643B" w:rsidP="00A7643B">
      <w:pPr>
        <w:jc w:val="both"/>
      </w:pPr>
      <w:r w:rsidRPr="00A7643B">
        <w:t>Otro reto relevante es la variabilidad organizativa entre centros y comunidades autónomas: al no existir un modelo único de organización de las unidades de admisión, las funciones concretas atribuidas al auxiliar administrativo pueden variar sensiblemente de un hospital a otro, lo que dificulta la comparación de estudios y la elaboración de recomendaciones generalizables. Sería deseable, en este sentido, avanzar hacia una mayor estandarización de los procesos y de las competencias exigidas a este perfil profesional en el conjunto del Sistema Nacional de Salud.</w:t>
      </w:r>
    </w:p>
    <w:p w14:paraId="36716513" w14:textId="77777777" w:rsidR="00A7643B" w:rsidRPr="00A7643B" w:rsidRDefault="00A7643B" w:rsidP="00A7643B">
      <w:pPr>
        <w:jc w:val="both"/>
        <w:rPr>
          <w:b/>
          <w:bCs/>
        </w:rPr>
      </w:pPr>
      <w:r w:rsidRPr="00A7643B">
        <w:rPr>
          <w:b/>
          <w:bCs/>
        </w:rPr>
        <w:t>5. Conclusiones</w:t>
      </w:r>
    </w:p>
    <w:p w14:paraId="373F55E1" w14:textId="77777777" w:rsidR="00A7643B" w:rsidRPr="00A7643B" w:rsidRDefault="00A7643B" w:rsidP="00A7643B">
      <w:pPr>
        <w:jc w:val="both"/>
      </w:pPr>
      <w:r w:rsidRPr="00A7643B">
        <w:t>El auxiliar administrativo constituye un eslabón esencial, aunque frecuentemente infravalorado, en el circuito de admisión y gestión de pacientes del hospital, con una incidencia directa sobre la seguridad del paciente, la eficiencia organizativa y la calidad percibida del servicio.</w:t>
      </w:r>
    </w:p>
    <w:p w14:paraId="13CE79A0" w14:textId="77777777" w:rsidR="00A7643B" w:rsidRPr="00A7643B" w:rsidRDefault="00A7643B" w:rsidP="00A7643B">
      <w:pPr>
        <w:jc w:val="both"/>
      </w:pPr>
      <w:r w:rsidRPr="00A7643B">
        <w:t>La evolución de sus funciones, desde tareas de registro hacia labores de coordinación activa y gestión de información compleja, exige una actualización constante de sus competencias, particularmente en el ámbito de los sistemas de información hospitalaria y de la comunicación con el paciente.</w:t>
      </w:r>
    </w:p>
    <w:p w14:paraId="731C9D47" w14:textId="77777777" w:rsidR="00A7643B" w:rsidRPr="00A7643B" w:rsidRDefault="00A7643B" w:rsidP="00A7643B">
      <w:pPr>
        <w:jc w:val="both"/>
      </w:pPr>
      <w:r w:rsidRPr="00A7643B">
        <w:lastRenderedPageBreak/>
        <w:t>Se recomienda impulsar planes de formación continuada específicos para este perfil profesional, así como avanzar en la estandarización de los procesos de admisión entre centros, como vías para mejorar tanto la seguridad del paciente como la eficiencia del conjunto del sistema.</w:t>
      </w:r>
    </w:p>
    <w:p w14:paraId="2BCAA8CD" w14:textId="77777777" w:rsidR="00A7643B" w:rsidRPr="00A7643B" w:rsidRDefault="00A7643B" w:rsidP="00A7643B">
      <w:pPr>
        <w:jc w:val="both"/>
        <w:rPr>
          <w:b/>
          <w:bCs/>
        </w:rPr>
      </w:pPr>
      <w:r w:rsidRPr="00A7643B">
        <w:rPr>
          <w:b/>
          <w:bCs/>
        </w:rPr>
        <w:t>Bibliografía</w:t>
      </w:r>
    </w:p>
    <w:p w14:paraId="18BA8BA1" w14:textId="77777777" w:rsidR="00A7643B" w:rsidRPr="00A7643B" w:rsidRDefault="00A7643B" w:rsidP="00A7643B">
      <w:pPr>
        <w:jc w:val="both"/>
      </w:pPr>
      <w:r w:rsidRPr="00A7643B">
        <w:rPr>
          <w:i/>
          <w:iCs/>
        </w:rPr>
        <w:t>Referencias citadas según normas de Vancouver, por orden de aparición en el texto:</w:t>
      </w:r>
    </w:p>
    <w:p w14:paraId="478B5A15" w14:textId="77777777" w:rsidR="00A7643B" w:rsidRPr="00A7643B" w:rsidRDefault="00A7643B" w:rsidP="00A7643B">
      <w:pPr>
        <w:jc w:val="both"/>
      </w:pPr>
      <w:r w:rsidRPr="00A7643B">
        <w:t xml:space="preserve">1. España. Ley 14/1986, de 25 de abril, General de Sanidad. Boletín Oficial del Estado, </w:t>
      </w:r>
      <w:proofErr w:type="spellStart"/>
      <w:r w:rsidRPr="00A7643B">
        <w:t>nº</w:t>
      </w:r>
      <w:proofErr w:type="spellEnd"/>
      <w:r w:rsidRPr="00A7643B">
        <w:t xml:space="preserve"> 102, de 29 de abril de 1986.</w:t>
      </w:r>
    </w:p>
    <w:p w14:paraId="480BB31E" w14:textId="77777777" w:rsidR="00A7643B" w:rsidRPr="00A7643B" w:rsidRDefault="00A7643B" w:rsidP="00A7643B">
      <w:pPr>
        <w:jc w:val="both"/>
      </w:pPr>
      <w:r w:rsidRPr="00A7643B">
        <w:t xml:space="preserve">2. España. Ley 41/2002, de 14 de noviembre, básica reguladora de la autonomía del paciente y de derechos y obligaciones en materia de información y documentación clínica. Boletín Oficial del Estado, </w:t>
      </w:r>
      <w:proofErr w:type="spellStart"/>
      <w:r w:rsidRPr="00A7643B">
        <w:t>nº</w:t>
      </w:r>
      <w:proofErr w:type="spellEnd"/>
      <w:r w:rsidRPr="00A7643B">
        <w:t xml:space="preserve"> 274, de 15 de noviembre de 2002.</w:t>
      </w:r>
    </w:p>
    <w:p w14:paraId="03E3576D" w14:textId="77777777" w:rsidR="00A7643B" w:rsidRPr="00A7643B" w:rsidRDefault="00A7643B" w:rsidP="00A7643B">
      <w:pPr>
        <w:jc w:val="both"/>
      </w:pPr>
      <w:r w:rsidRPr="00A7643B">
        <w:t>3. Ministerio de Sanidad. Unidad de Admisión y Documentación Clínica: estándares y recomendaciones. Madrid: Ministerio de Sanidad, Servicios Sociales e Igualdad; 2013.</w:t>
      </w:r>
    </w:p>
    <w:p w14:paraId="439D95B0" w14:textId="77777777" w:rsidR="00A7643B" w:rsidRPr="00A7643B" w:rsidRDefault="00A7643B" w:rsidP="00A7643B">
      <w:pPr>
        <w:jc w:val="both"/>
      </w:pPr>
      <w:r w:rsidRPr="00A7643B">
        <w:t>4. Instituto para la Seguridad del Paciente. Identificación inequívoca de pacientes en el ámbito hospitalario: recomendaciones prácticas. Madrid: Ministerio de Sanidad; 2011.</w:t>
      </w:r>
    </w:p>
    <w:p w14:paraId="0F845768" w14:textId="77777777" w:rsidR="00A7643B" w:rsidRPr="00A7643B" w:rsidRDefault="00A7643B" w:rsidP="00A7643B">
      <w:pPr>
        <w:jc w:val="both"/>
      </w:pPr>
      <w:r w:rsidRPr="00A7643B">
        <w:t>5. Organización Mundial de la Salud. Soluciones para la seguridad del paciente: identificación de pacientes. Ginebra: OMS; 2007.</w:t>
      </w:r>
    </w:p>
    <w:p w14:paraId="6319FBC8" w14:textId="77777777" w:rsidR="00A7643B" w:rsidRPr="00A7643B" w:rsidRDefault="00A7643B" w:rsidP="00A7643B">
      <w:pPr>
        <w:jc w:val="both"/>
      </w:pPr>
      <w:r w:rsidRPr="00A7643B">
        <w:t xml:space="preserve">6. Sociedad Española de Directivos de la Salud (SEDISA). Los sistemas de información hospitalaria y su impacto en la gestión de pacientes. Rev </w:t>
      </w:r>
      <w:proofErr w:type="spellStart"/>
      <w:r w:rsidRPr="00A7643B">
        <w:t>Adm</w:t>
      </w:r>
      <w:proofErr w:type="spellEnd"/>
      <w:r w:rsidRPr="00A7643B">
        <w:t xml:space="preserve"> Sanit Siglo XXI. 2019;17(2):45-58.</w:t>
      </w:r>
    </w:p>
    <w:p w14:paraId="5A5B1FC2" w14:textId="77777777" w:rsidR="00A7643B" w:rsidRDefault="00A7643B" w:rsidP="00A7643B">
      <w:pPr>
        <w:jc w:val="both"/>
      </w:pPr>
    </w:p>
    <w:p w14:paraId="703FD754" w14:textId="77777777" w:rsidR="00A7643B" w:rsidRDefault="00A7643B" w:rsidP="00A7643B">
      <w:pPr>
        <w:jc w:val="both"/>
      </w:pPr>
    </w:p>
    <w:p w14:paraId="6A200DC8" w14:textId="77777777" w:rsidR="00A7643B" w:rsidRDefault="00A7643B" w:rsidP="00A7643B">
      <w:pPr>
        <w:jc w:val="both"/>
      </w:pPr>
    </w:p>
    <w:p w14:paraId="07FE91E3" w14:textId="77777777" w:rsidR="00A7643B" w:rsidRDefault="00A7643B" w:rsidP="00A7643B">
      <w:pPr>
        <w:jc w:val="both"/>
      </w:pPr>
    </w:p>
    <w:p w14:paraId="4F437A1D" w14:textId="77777777" w:rsidR="00A7643B" w:rsidRDefault="00A7643B" w:rsidP="00A7643B">
      <w:pPr>
        <w:jc w:val="both"/>
      </w:pPr>
    </w:p>
    <w:p w14:paraId="10D6086C" w14:textId="77777777" w:rsidR="00A7643B" w:rsidRDefault="00A7643B" w:rsidP="00A7643B">
      <w:pPr>
        <w:jc w:val="both"/>
      </w:pPr>
    </w:p>
    <w:p w14:paraId="717721AD" w14:textId="77777777" w:rsidR="00A7643B" w:rsidRDefault="00A7643B" w:rsidP="00A7643B">
      <w:pPr>
        <w:jc w:val="both"/>
      </w:pPr>
    </w:p>
    <w:p w14:paraId="65A624BB" w14:textId="77777777" w:rsidR="00A7643B" w:rsidRDefault="00A7643B" w:rsidP="00A7643B">
      <w:pPr>
        <w:jc w:val="both"/>
      </w:pPr>
    </w:p>
    <w:p w14:paraId="5FE7274C" w14:textId="77777777" w:rsidR="00A7643B" w:rsidRDefault="00A7643B" w:rsidP="00A7643B">
      <w:pPr>
        <w:jc w:val="both"/>
      </w:pPr>
    </w:p>
    <w:p w14:paraId="1E5BDABD" w14:textId="77777777" w:rsidR="00A7643B" w:rsidRDefault="00A7643B" w:rsidP="00A7643B">
      <w:pPr>
        <w:jc w:val="both"/>
      </w:pPr>
    </w:p>
    <w:p w14:paraId="755319D7" w14:textId="77777777" w:rsidR="00A7643B" w:rsidRPr="00A7643B" w:rsidRDefault="00A7643B" w:rsidP="00A7643B">
      <w:pPr>
        <w:jc w:val="both"/>
      </w:pPr>
      <w:r w:rsidRPr="00A7643B">
        <w:rPr>
          <w:b/>
          <w:bCs/>
        </w:rPr>
        <w:lastRenderedPageBreak/>
        <w:t>Gestión, custodia y archivo de la documentación clínica: el papel del auxiliar administrativo en la historia clínica hospitalaria</w:t>
      </w:r>
    </w:p>
    <w:p w14:paraId="4BF4AAA0" w14:textId="77777777" w:rsidR="00A7643B" w:rsidRPr="00A7643B" w:rsidRDefault="00A7643B" w:rsidP="00A7643B">
      <w:pPr>
        <w:jc w:val="both"/>
        <w:rPr>
          <w:b/>
          <w:bCs/>
        </w:rPr>
      </w:pPr>
      <w:r w:rsidRPr="00A7643B">
        <w:rPr>
          <w:b/>
          <w:bCs/>
        </w:rPr>
        <w:t>Resumen</w:t>
      </w:r>
    </w:p>
    <w:p w14:paraId="04429FC9" w14:textId="77777777" w:rsidR="00A7643B" w:rsidRPr="00A7643B" w:rsidRDefault="00A7643B" w:rsidP="00A7643B">
      <w:pPr>
        <w:jc w:val="both"/>
      </w:pPr>
      <w:r w:rsidRPr="00A7643B">
        <w:t>La historia clínica constituye el documento esencial en el que se registra todo el proceso asistencial de un paciente, con un valor tanto clínico como legal. El auxiliar administrativo desempeña un papel central en su gestión, custodia y archivo, tareas reguladas de forma detallada por la Ley 41/2002, de 14 de noviembre. Este trabajo, mediante una revisión narrativa del marco normativo y de la literatura técnica sobre gestión documental sanitaria, analiza las funciones del auxiliar administrativo en la organización de los archivos de historias clínicas (activo, semiactivo y pasivo), los plazos legales de conservación, los procedimientos de préstamo, expurgo y digitalización, y las obligaciones de confidencialidad asociadas al tratamiento de esta documentación. Los resultados evidencian que la correcta gestión archivística no es una tarea meramente logística, sino una garantía activa del derecho del paciente a la información y de la disponibilidad de la documentación para fines asistenciales, judiciales y de investigación, siendo la formación específica y la progresiva digitalización los principales retos de futuro de esta función.</w:t>
      </w:r>
    </w:p>
    <w:p w14:paraId="0AF88577" w14:textId="77777777" w:rsidR="00A7643B" w:rsidRPr="00A7643B" w:rsidRDefault="00A7643B" w:rsidP="00A7643B">
      <w:pPr>
        <w:jc w:val="both"/>
      </w:pPr>
      <w:r w:rsidRPr="00A7643B">
        <w:rPr>
          <w:b/>
          <w:bCs/>
        </w:rPr>
        <w:t xml:space="preserve">Palabras clave: </w:t>
      </w:r>
      <w:r w:rsidRPr="00A7643B">
        <w:rPr>
          <w:i/>
          <w:iCs/>
        </w:rPr>
        <w:t>Historia clínica; Archivo hospitalario; Documentación clínica; Confidencialidad; Auxiliar administrativo; Gestión documental.</w:t>
      </w:r>
    </w:p>
    <w:p w14:paraId="7B24D67B" w14:textId="77777777" w:rsidR="00A7643B" w:rsidRPr="00A7643B" w:rsidRDefault="00A7643B" w:rsidP="00A7643B">
      <w:pPr>
        <w:jc w:val="both"/>
        <w:rPr>
          <w:b/>
          <w:bCs/>
          <w:lang w:val="en-GB"/>
        </w:rPr>
      </w:pPr>
      <w:r w:rsidRPr="00A7643B">
        <w:rPr>
          <w:b/>
          <w:bCs/>
          <w:lang w:val="en-GB"/>
        </w:rPr>
        <w:t>Abstract</w:t>
      </w:r>
    </w:p>
    <w:p w14:paraId="4F452BFC" w14:textId="77777777" w:rsidR="00A7643B" w:rsidRPr="00A7643B" w:rsidRDefault="00A7643B" w:rsidP="00A7643B">
      <w:pPr>
        <w:jc w:val="both"/>
        <w:rPr>
          <w:lang w:val="en-GB"/>
        </w:rPr>
      </w:pPr>
      <w:r w:rsidRPr="00A7643B">
        <w:rPr>
          <w:lang w:val="en-GB"/>
        </w:rPr>
        <w:t>The clinical record is the essential document in which a patient's entire care process is registered, holding both clinical and legal value. Administrative assistants play a central role in its management, custody and filing, tasks regulated in detail by Spanish Law 41/2002. This paper, through a narrative review of the regulatory framework and technical literature on health records management, analyses the functions of administrative assistants in organising clinical record archives, legal retention periods, loan, culling and digitisation procedures, and confidentiality obligations. Results show that proper archival management is not a merely logistical task but an active guarantee of the patient's right to information and of the availability of documentation for care, legal and research purposes, with specific training and progressive digitisation identified as the main future challenges.</w:t>
      </w:r>
    </w:p>
    <w:p w14:paraId="2BB553C4" w14:textId="77777777" w:rsidR="00A7643B" w:rsidRPr="00A7643B" w:rsidRDefault="00A7643B" w:rsidP="00A7643B">
      <w:pPr>
        <w:jc w:val="both"/>
        <w:rPr>
          <w:lang w:val="en-GB"/>
        </w:rPr>
      </w:pPr>
      <w:r w:rsidRPr="00A7643B">
        <w:rPr>
          <w:b/>
          <w:bCs/>
          <w:lang w:val="en-GB"/>
        </w:rPr>
        <w:t xml:space="preserve">Keywords: </w:t>
      </w:r>
      <w:r w:rsidRPr="00A7643B">
        <w:rPr>
          <w:i/>
          <w:iCs/>
          <w:lang w:val="en-GB"/>
        </w:rPr>
        <w:t>Clinical record; Hospital archive; Clinical documentation; Confidentiality; Administrative assistant; Records management.</w:t>
      </w:r>
    </w:p>
    <w:p w14:paraId="665B4B49" w14:textId="77777777" w:rsidR="00A7643B" w:rsidRPr="00A7643B" w:rsidRDefault="00A7643B" w:rsidP="00A7643B">
      <w:pPr>
        <w:jc w:val="both"/>
        <w:rPr>
          <w:b/>
          <w:bCs/>
        </w:rPr>
      </w:pPr>
      <w:r w:rsidRPr="00A7643B">
        <w:rPr>
          <w:b/>
          <w:bCs/>
        </w:rPr>
        <w:t>1. Introducción</w:t>
      </w:r>
    </w:p>
    <w:p w14:paraId="57641B7D" w14:textId="77777777" w:rsidR="00A7643B" w:rsidRPr="00A7643B" w:rsidRDefault="00A7643B" w:rsidP="00A7643B">
      <w:pPr>
        <w:jc w:val="both"/>
      </w:pPr>
      <w:r w:rsidRPr="00A7643B">
        <w:t xml:space="preserve">La historia clínica es, según la definición legal española, «el conjunto de documentos que contienen los datos, valoraciones e informaciones de cualquier índole sobre la situación y la evolución clínica de un paciente a lo largo del proceso </w:t>
      </w:r>
      <w:r w:rsidRPr="00A7643B">
        <w:lastRenderedPageBreak/>
        <w:t>asistencial» (1). Su correcta gestión no es solo un requisito técnico, sino una obligación legal que afecta directamente a derechos fundamentales del paciente, como el derecho a la información asistencial y el derecho a la intimidad.</w:t>
      </w:r>
    </w:p>
    <w:p w14:paraId="367F80CC" w14:textId="77777777" w:rsidR="00A7643B" w:rsidRPr="00A7643B" w:rsidRDefault="00A7643B" w:rsidP="00A7643B">
      <w:pPr>
        <w:jc w:val="both"/>
      </w:pPr>
      <w:r w:rsidRPr="00A7643B">
        <w:t>El auxiliar administrativo, integrado en los servicios de admisión y documentación clínica o en unidades de archivo específicas, es el profesional que en la práctica gestiona buena parte del ciclo de vida de la historia clínica: su apertura, su circulación entre servicios durante el proceso asistencial, su archivo tras la finalización del episodio, y su localización y préstamo cuando es requerida de nuevo, ya sea con fines asistenciales, judiciales, de inspección o de investigación.</w:t>
      </w:r>
    </w:p>
    <w:p w14:paraId="547CEBA6" w14:textId="77777777" w:rsidR="00A7643B" w:rsidRPr="00A7643B" w:rsidRDefault="00A7643B" w:rsidP="00A7643B">
      <w:pPr>
        <w:jc w:val="both"/>
      </w:pPr>
      <w:r w:rsidRPr="00A7643B">
        <w:t>El objetivo de este trabajo es analizar, a partir de una revisión narrativa del marco normativo vigente y de la literatura técnica disponible, las funciones del auxiliar administrativo en la gestión y archivo de la historia clínica, con especial atención a los plazos legales de conservación, los procedimientos de acceso y préstamo, y las obligaciones de confidencialidad que se derivan del tratamiento de esta documentación especialmente sensible.</w:t>
      </w:r>
    </w:p>
    <w:p w14:paraId="57691B77" w14:textId="77777777" w:rsidR="00A7643B" w:rsidRPr="00A7643B" w:rsidRDefault="00A7643B" w:rsidP="00A7643B">
      <w:pPr>
        <w:jc w:val="both"/>
        <w:rPr>
          <w:b/>
          <w:bCs/>
        </w:rPr>
      </w:pPr>
      <w:r w:rsidRPr="00A7643B">
        <w:rPr>
          <w:b/>
          <w:bCs/>
        </w:rPr>
        <w:t>2. Metodología</w:t>
      </w:r>
    </w:p>
    <w:p w14:paraId="764F8E1A" w14:textId="77777777" w:rsidR="00A7643B" w:rsidRPr="00A7643B" w:rsidRDefault="00A7643B" w:rsidP="00A7643B">
      <w:pPr>
        <w:jc w:val="both"/>
      </w:pPr>
      <w:r w:rsidRPr="00A7643B">
        <w:t>Se ha llevado a cabo una revisión narrativa centrada, en primer lugar, en el análisis del capítulo V de la Ley 41/2002, de 14 de noviembre (artículos 14 a 19), que regula de forma específica el contenido, el uso, el acceso, la conservación y los derechos relacionados con la historia clínica. Se han complementado estas fuentes legales con la revisión de guías técnicas de gestión documental sanitaria publicadas por sociedades científicas y administraciones sanitarias autonómicas, así como con literatura técnica indexada en Scielo, Dialnet e IBECS sobre archivo hospitalario, empleando los términos «historia clínica», «archivo hospitalario», «documentación clínica», «custodia» y «confidencialidad sanitaria».</w:t>
      </w:r>
    </w:p>
    <w:p w14:paraId="650B6E89" w14:textId="77777777" w:rsidR="00A7643B" w:rsidRPr="00A7643B" w:rsidRDefault="00A7643B" w:rsidP="00A7643B">
      <w:pPr>
        <w:jc w:val="both"/>
      </w:pPr>
      <w:r w:rsidRPr="00A7643B">
        <w:t>Se han excluido de la revisión los aspectos relativos exclusivamente a la codificación clínica (CIE-10) por constituir una función más propia del personal técnico de documentación sanitaria, centrando el análisis en las funciones estrictamente administrativas de gestión, archivo y custodia que son competencia habitual del auxiliar administrativo.</w:t>
      </w:r>
    </w:p>
    <w:p w14:paraId="029C579D" w14:textId="77777777" w:rsidR="00A7643B" w:rsidRPr="00A7643B" w:rsidRDefault="00A7643B" w:rsidP="00A7643B">
      <w:pPr>
        <w:jc w:val="both"/>
      </w:pPr>
      <w:r w:rsidRPr="00A7643B">
        <w:t>La información se ha sintetizado en tres bloques: (a) tipología y organización de los archivos de historias clínicas; (b) plazos y procedimientos legales de conservación, préstamo y expurgo; y (c) obligaciones de confidencialidad y responsabilidad asociadas a la custodia de la documentación clínica.</w:t>
      </w:r>
    </w:p>
    <w:p w14:paraId="42D9CD58" w14:textId="77777777" w:rsidR="00A7643B" w:rsidRPr="00A7643B" w:rsidRDefault="00A7643B" w:rsidP="00A7643B">
      <w:pPr>
        <w:jc w:val="both"/>
        <w:rPr>
          <w:b/>
          <w:bCs/>
        </w:rPr>
      </w:pPr>
      <w:r w:rsidRPr="00A7643B">
        <w:rPr>
          <w:b/>
          <w:bCs/>
        </w:rPr>
        <w:t>3. Resultados</w:t>
      </w:r>
    </w:p>
    <w:p w14:paraId="38A7825C" w14:textId="77777777" w:rsidR="00A7643B" w:rsidRPr="00A7643B" w:rsidRDefault="00A7643B" w:rsidP="00A7643B">
      <w:pPr>
        <w:jc w:val="both"/>
      </w:pPr>
      <w:r w:rsidRPr="00A7643B">
        <w:t>Del análisis realizado se desprenden los siguientes resultados principales:</w:t>
      </w:r>
    </w:p>
    <w:p w14:paraId="0D40E8A7" w14:textId="77777777" w:rsidR="00A7643B" w:rsidRPr="00A7643B" w:rsidRDefault="00A7643B" w:rsidP="00A7643B">
      <w:pPr>
        <w:numPr>
          <w:ilvl w:val="0"/>
          <w:numId w:val="2"/>
        </w:numPr>
        <w:jc w:val="both"/>
      </w:pPr>
      <w:r w:rsidRPr="00A7643B">
        <w:lastRenderedPageBreak/>
        <w:t>Organización del archivo: los centros hospitalarios organizan habitualmente sus archivos en tres niveles según la frecuencia de uso previsible de la documentación: archivo activo (historias de pacientes con episodios recientes o en seguimiento), archivo semiactivo o intermedio, y archivo pasivo o histórico (historias de pacientes sin actividad asistencial reciente), pudiendo combinarse formatos físicos y digitales según el grado de implantación de la historia clínica electrónica en cada centro.</w:t>
      </w:r>
    </w:p>
    <w:p w14:paraId="0E2A115C" w14:textId="77777777" w:rsidR="00A7643B" w:rsidRPr="00A7643B" w:rsidRDefault="00A7643B" w:rsidP="00A7643B">
      <w:pPr>
        <w:numPr>
          <w:ilvl w:val="0"/>
          <w:numId w:val="2"/>
        </w:numPr>
        <w:jc w:val="both"/>
      </w:pPr>
      <w:r w:rsidRPr="00A7643B">
        <w:t>Identificación del paciente: cada paciente dispone de un número único de historia clínica por centro (y, cada vez con mayor frecuencia, un identificador único a nivel autonómico o nacional vinculado a la tarjeta sanitaria), cuya correcta asignación y control de duplicados es una función administrativa esencial para evitar la fragmentación de la información clínica de un mismo paciente.</w:t>
      </w:r>
    </w:p>
    <w:p w14:paraId="7EE89CDB" w14:textId="77777777" w:rsidR="00A7643B" w:rsidRPr="00A7643B" w:rsidRDefault="00A7643B" w:rsidP="00A7643B">
      <w:pPr>
        <w:numPr>
          <w:ilvl w:val="0"/>
          <w:numId w:val="2"/>
        </w:numPr>
        <w:jc w:val="both"/>
      </w:pPr>
      <w:r w:rsidRPr="00A7643B">
        <w:t>Plazo legal de conservación: el artículo 17.1 de la Ley 41/2002 establece la obligación de conservar la documentación clínica en condiciones que garanticen su correcto mantenimiento y seguridad durante un plazo mínimo de cinco años, contados desde la fecha de alta de cada proceso asistencial, sin perjuicio de que las administraciones sanitarias puedan establecer plazos superiores y de la obligación de conservación indefinida de determinada documentación clínica de especial relevancia (2).</w:t>
      </w:r>
    </w:p>
    <w:p w14:paraId="3CD684BB" w14:textId="77777777" w:rsidR="00A7643B" w:rsidRPr="00A7643B" w:rsidRDefault="00A7643B" w:rsidP="00A7643B">
      <w:pPr>
        <w:numPr>
          <w:ilvl w:val="0"/>
          <w:numId w:val="2"/>
        </w:numPr>
        <w:jc w:val="both"/>
      </w:pPr>
      <w:r w:rsidRPr="00A7643B">
        <w:t>Procedimientos de préstamo y acceso: el auxiliar administrativo gestiona las peticiones de préstamo de historias clínicas por parte de los profesionales sanitarios, así como las solicitudes de acceso realizadas por el propio paciente (derecho de acceso a su historia clínica, art. 18 de la Ley 41/2002) o por terceros legitimados (autoridades judiciales, inspección sanitaria), debiendo verificar en cada caso la legitimidad de la solicitud.</w:t>
      </w:r>
    </w:p>
    <w:p w14:paraId="0CAEC77D" w14:textId="77777777" w:rsidR="00A7643B" w:rsidRPr="00A7643B" w:rsidRDefault="00A7643B" w:rsidP="00A7643B">
      <w:pPr>
        <w:numPr>
          <w:ilvl w:val="0"/>
          <w:numId w:val="2"/>
        </w:numPr>
        <w:jc w:val="both"/>
      </w:pPr>
      <w:r w:rsidRPr="00A7643B">
        <w:t>Expurgo y destrucción documental: transcurridos los plazos legales y técnicos correspondientes, y conforme a los criterios establecidos por las comisiones de documentación clínica de cada centro, procede la valoración, selección y, en su caso, destrucción controlada de determinada documentación, proceso en el que el auxiliar administrativo suele desempeñar funciones de apoyo logístico y de registro.</w:t>
      </w:r>
    </w:p>
    <w:p w14:paraId="2827B9D0" w14:textId="77777777" w:rsidR="00A7643B" w:rsidRPr="00A7643B" w:rsidRDefault="00A7643B" w:rsidP="00A7643B">
      <w:pPr>
        <w:numPr>
          <w:ilvl w:val="0"/>
          <w:numId w:val="2"/>
        </w:numPr>
        <w:jc w:val="both"/>
      </w:pPr>
      <w:r w:rsidRPr="00A7643B">
        <w:t>Digitalización: la transición hacia la historia clínica electrónica ha añadido a las funciones tradicionales de archivo tareas de digitalización de documentación en papel, control de calidad de los documentos escaneados y gestión de la coexistencia, durante el periodo de transición, entre soporte físico y soporte digital.</w:t>
      </w:r>
    </w:p>
    <w:p w14:paraId="17102B45" w14:textId="77777777" w:rsidR="00A7643B" w:rsidRPr="00A7643B" w:rsidRDefault="00A7643B" w:rsidP="00A7643B">
      <w:pPr>
        <w:jc w:val="both"/>
        <w:rPr>
          <w:b/>
          <w:bCs/>
        </w:rPr>
      </w:pPr>
      <w:r w:rsidRPr="00A7643B">
        <w:rPr>
          <w:b/>
          <w:bCs/>
        </w:rPr>
        <w:t>4. Discusión</w:t>
      </w:r>
    </w:p>
    <w:p w14:paraId="6258AD36" w14:textId="77777777" w:rsidR="00A7643B" w:rsidRPr="00A7643B" w:rsidRDefault="00A7643B" w:rsidP="00A7643B">
      <w:pPr>
        <w:jc w:val="both"/>
      </w:pPr>
      <w:r w:rsidRPr="00A7643B">
        <w:lastRenderedPageBreak/>
        <w:t>Los resultados de esta revisión ponen de manifiesto que la gestión del archivo de historias clínicas trasciende la mera custodia física de documentos: constituye una garantía activa de derechos del paciente (el acceso a su propia información, la continuidad asistencial) y una fuente de responsabilidad legal para el centro sanitario y para los profesionales implicados en su gestión, incluido el auxiliar administrativo, sujeto al deber de secreto profesional respecto de la información a la que tiene acceso en el ejercicio de sus funciones (3).</w:t>
      </w:r>
    </w:p>
    <w:p w14:paraId="7EF9E4D4" w14:textId="77777777" w:rsidR="00A7643B" w:rsidRPr="00A7643B" w:rsidRDefault="00A7643B" w:rsidP="00A7643B">
      <w:pPr>
        <w:jc w:val="both"/>
      </w:pPr>
      <w:r w:rsidRPr="00A7643B">
        <w:t>Un aspecto especialmente relevante identificado en la revisión es la coexistencia, en la mayoría de los centros, de documentación en soporte papel y en soporte digital, lo que genera retos organizativos específicos: necesidad de espacio físico adecuado para el archivo tradicional, protocolos claros de digitalización y control de calidad, y procedimientos que garanticen que ambos soportes se mantienen sincronizados mientras dura la transición hacia la historia clínica plenamente electrónica, tendencia que se analiza con mayor profundidad en otra de las publicaciones de esta serie.</w:t>
      </w:r>
    </w:p>
    <w:p w14:paraId="53CC8EA7" w14:textId="77777777" w:rsidR="00A7643B" w:rsidRPr="00A7643B" w:rsidRDefault="00A7643B" w:rsidP="00A7643B">
      <w:pPr>
        <w:jc w:val="both"/>
      </w:pPr>
      <w:r w:rsidRPr="00A7643B">
        <w:t>Asimismo, se constata que la formación específica en gestión documental sanitaria, protección de datos y responsabilidad legal asociada a la custodia de la historia clínica no siempre forma parte de los programas de formación inicial del auxiliar administrativo, lo que sugiere la conveniencia de reforzar este componente formativo mediante formación continuada específica.</w:t>
      </w:r>
    </w:p>
    <w:p w14:paraId="69897D66" w14:textId="77777777" w:rsidR="00A7643B" w:rsidRPr="00A7643B" w:rsidRDefault="00A7643B" w:rsidP="00A7643B">
      <w:pPr>
        <w:jc w:val="both"/>
        <w:rPr>
          <w:b/>
          <w:bCs/>
        </w:rPr>
      </w:pPr>
      <w:r w:rsidRPr="00A7643B">
        <w:rPr>
          <w:b/>
          <w:bCs/>
        </w:rPr>
        <w:t>5. Conclusiones</w:t>
      </w:r>
    </w:p>
    <w:p w14:paraId="5A9C9F00" w14:textId="77777777" w:rsidR="00A7643B" w:rsidRPr="00A7643B" w:rsidRDefault="00A7643B" w:rsidP="00A7643B">
      <w:pPr>
        <w:jc w:val="both"/>
      </w:pPr>
      <w:r w:rsidRPr="00A7643B">
        <w:t>La gestión, custodia y archivo de la historia clínica es una función administrativa de alta responsabilidad legal y clínica, estrechamente vinculada al derecho del paciente a la información asistencial y a la intimidad de sus datos de salud.</w:t>
      </w:r>
    </w:p>
    <w:p w14:paraId="458CA0E3" w14:textId="77777777" w:rsidR="00A7643B" w:rsidRPr="00A7643B" w:rsidRDefault="00A7643B" w:rsidP="00A7643B">
      <w:pPr>
        <w:jc w:val="both"/>
      </w:pPr>
      <w:r w:rsidRPr="00A7643B">
        <w:t>El marco normativo español, particularmente el capítulo V de la Ley 41/2002, establece obligaciones precisas en materia de conservación, acceso y confidencialidad que el auxiliar administrativo debe conocer y aplicar en su práctica diaria.</w:t>
      </w:r>
    </w:p>
    <w:p w14:paraId="3F04EECB" w14:textId="77777777" w:rsidR="00A7643B" w:rsidRPr="00A7643B" w:rsidRDefault="00A7643B" w:rsidP="00A7643B">
      <w:pPr>
        <w:jc w:val="both"/>
      </w:pPr>
      <w:r w:rsidRPr="00A7643B">
        <w:t>La convivencia actual entre archivo físico y archivo digital exige protocolos claros y formación específica, siendo recomendable reforzar la capacitación de este perfil profesional en gestión documental sanitaria y protección de datos como vía para mejorar la calidad y seguridad de la custodia de la documentación clínica.</w:t>
      </w:r>
    </w:p>
    <w:p w14:paraId="3B49C2C7" w14:textId="77777777" w:rsidR="00A7643B" w:rsidRPr="00A7643B" w:rsidRDefault="00A7643B" w:rsidP="00A7643B">
      <w:pPr>
        <w:jc w:val="both"/>
        <w:rPr>
          <w:b/>
          <w:bCs/>
        </w:rPr>
      </w:pPr>
      <w:r w:rsidRPr="00A7643B">
        <w:rPr>
          <w:b/>
          <w:bCs/>
        </w:rPr>
        <w:t>Bibliografía</w:t>
      </w:r>
    </w:p>
    <w:p w14:paraId="17C22EC0" w14:textId="77777777" w:rsidR="00A7643B" w:rsidRPr="00A7643B" w:rsidRDefault="00A7643B" w:rsidP="00A7643B">
      <w:pPr>
        <w:jc w:val="both"/>
      </w:pPr>
      <w:r w:rsidRPr="00A7643B">
        <w:rPr>
          <w:i/>
          <w:iCs/>
        </w:rPr>
        <w:t>Referencias citadas según normas de Vancouver, por orden de aparición en el texto:</w:t>
      </w:r>
    </w:p>
    <w:p w14:paraId="0F884927" w14:textId="77777777" w:rsidR="00A7643B" w:rsidRPr="00A7643B" w:rsidRDefault="00A7643B" w:rsidP="00A7643B">
      <w:pPr>
        <w:jc w:val="both"/>
      </w:pPr>
      <w:r w:rsidRPr="00A7643B">
        <w:t xml:space="preserve">1. España. Ley 41/2002, de 14 de noviembre, básica reguladora de la autonomía del paciente y de derechos y obligaciones en materia de información y documentación clínica. Boletín Oficial del Estado, </w:t>
      </w:r>
      <w:proofErr w:type="spellStart"/>
      <w:r w:rsidRPr="00A7643B">
        <w:t>nº</w:t>
      </w:r>
      <w:proofErr w:type="spellEnd"/>
      <w:r w:rsidRPr="00A7643B">
        <w:t xml:space="preserve"> 274, de 15 de noviembre de 2002.</w:t>
      </w:r>
    </w:p>
    <w:p w14:paraId="7A6B28FE" w14:textId="77777777" w:rsidR="00A7643B" w:rsidRPr="00A7643B" w:rsidRDefault="00A7643B" w:rsidP="00A7643B">
      <w:pPr>
        <w:jc w:val="both"/>
      </w:pPr>
      <w:r w:rsidRPr="00A7643B">
        <w:lastRenderedPageBreak/>
        <w:t>2. Ministerio de Sanidad, Consumo y Bienestar Social. Conjunto Mínimo de Datos y estándares de la Historia Clínica Digital del Sistema Nacional de Salud. Madrid: Ministerio de Sanidad; 2015.</w:t>
      </w:r>
    </w:p>
    <w:p w14:paraId="7C109194" w14:textId="77777777" w:rsidR="00A7643B" w:rsidRPr="00A7643B" w:rsidRDefault="00A7643B" w:rsidP="00A7643B">
      <w:pPr>
        <w:jc w:val="both"/>
      </w:pPr>
      <w:r w:rsidRPr="00A7643B">
        <w:t xml:space="preserve">3. España. Ley Orgánica 10/1995, de 23 de noviembre, del Código Penal (artículo 199, sobre revelación de secretos). Boletín Oficial del Estado, </w:t>
      </w:r>
      <w:proofErr w:type="spellStart"/>
      <w:r w:rsidRPr="00A7643B">
        <w:t>nº</w:t>
      </w:r>
      <w:proofErr w:type="spellEnd"/>
      <w:r w:rsidRPr="00A7643B">
        <w:t xml:space="preserve"> 281, de 24 de noviembre de 1995.</w:t>
      </w:r>
    </w:p>
    <w:p w14:paraId="22ADDDF8" w14:textId="77777777" w:rsidR="00A7643B" w:rsidRPr="00A7643B" w:rsidRDefault="00A7643B" w:rsidP="00A7643B">
      <w:pPr>
        <w:jc w:val="both"/>
      </w:pPr>
      <w:r w:rsidRPr="00A7643B">
        <w:t>4. Sociedad Española de Documentación Médica (SEDOM). Recomendaciones para la gestión del archivo de historias clínicas en centros sanitarios. Madrid: SEDOM; 2017.</w:t>
      </w:r>
    </w:p>
    <w:p w14:paraId="032928AC" w14:textId="77777777" w:rsidR="00A7643B" w:rsidRPr="00A7643B" w:rsidRDefault="00A7643B" w:rsidP="00A7643B">
      <w:pPr>
        <w:jc w:val="both"/>
      </w:pPr>
      <w:r w:rsidRPr="00A7643B">
        <w:t xml:space="preserve">5. Huerta Barajas JA. Gestión documental y archivo de historias clínicas en el hospital: una revisión. Rev </w:t>
      </w:r>
      <w:proofErr w:type="spellStart"/>
      <w:r w:rsidRPr="00A7643B">
        <w:t>Adm</w:t>
      </w:r>
      <w:proofErr w:type="spellEnd"/>
      <w:r w:rsidRPr="00A7643B">
        <w:t xml:space="preserve"> Sanit Siglo XXI. 2016;14(3):112-125.</w:t>
      </w:r>
    </w:p>
    <w:p w14:paraId="5D09FD17" w14:textId="77777777" w:rsidR="00A7643B" w:rsidRPr="00A7643B" w:rsidRDefault="00A7643B" w:rsidP="00A7643B">
      <w:pPr>
        <w:jc w:val="both"/>
      </w:pPr>
      <w:r w:rsidRPr="00A7643B">
        <w:t>6. Consejería de Sanidad (Comunidad de Madrid). Manual de organización y funcionamiento del archivo de historias clínicas. Madrid: Servicio Madrileño de Salud; 2018.</w:t>
      </w:r>
    </w:p>
    <w:p w14:paraId="5D2F59E7" w14:textId="77777777" w:rsidR="00A7643B" w:rsidRDefault="00A7643B" w:rsidP="00A7643B">
      <w:pPr>
        <w:jc w:val="both"/>
      </w:pPr>
    </w:p>
    <w:p w14:paraId="4CD91A89" w14:textId="77777777" w:rsidR="00A7643B" w:rsidRDefault="00A7643B" w:rsidP="00A7643B">
      <w:pPr>
        <w:jc w:val="both"/>
      </w:pPr>
    </w:p>
    <w:p w14:paraId="6DC52B30" w14:textId="77777777" w:rsidR="00A7643B" w:rsidRDefault="00A7643B" w:rsidP="00A7643B">
      <w:pPr>
        <w:jc w:val="both"/>
      </w:pPr>
    </w:p>
    <w:p w14:paraId="453B01BD" w14:textId="77777777" w:rsidR="00A7643B" w:rsidRDefault="00A7643B" w:rsidP="00A7643B">
      <w:pPr>
        <w:jc w:val="both"/>
      </w:pPr>
    </w:p>
    <w:p w14:paraId="4273C53B" w14:textId="77777777" w:rsidR="00A7643B" w:rsidRDefault="00A7643B" w:rsidP="00A7643B">
      <w:pPr>
        <w:jc w:val="both"/>
      </w:pPr>
    </w:p>
    <w:p w14:paraId="47734D2F" w14:textId="77777777" w:rsidR="00A7643B" w:rsidRDefault="00A7643B" w:rsidP="00A7643B">
      <w:pPr>
        <w:jc w:val="both"/>
      </w:pPr>
    </w:p>
    <w:p w14:paraId="1168AE45" w14:textId="77777777" w:rsidR="00A7643B" w:rsidRDefault="00A7643B" w:rsidP="00A7643B">
      <w:pPr>
        <w:jc w:val="both"/>
      </w:pPr>
    </w:p>
    <w:p w14:paraId="246C1D1E" w14:textId="77777777" w:rsidR="00A7643B" w:rsidRDefault="00A7643B" w:rsidP="00A7643B">
      <w:pPr>
        <w:jc w:val="both"/>
      </w:pPr>
    </w:p>
    <w:p w14:paraId="0DC40483" w14:textId="77777777" w:rsidR="00A7643B" w:rsidRDefault="00A7643B" w:rsidP="00A7643B">
      <w:pPr>
        <w:jc w:val="both"/>
      </w:pPr>
    </w:p>
    <w:p w14:paraId="45781524" w14:textId="77777777" w:rsidR="00A7643B" w:rsidRDefault="00A7643B" w:rsidP="00A7643B">
      <w:pPr>
        <w:jc w:val="both"/>
      </w:pPr>
    </w:p>
    <w:p w14:paraId="0183A66E" w14:textId="77777777" w:rsidR="00A7643B" w:rsidRDefault="00A7643B" w:rsidP="00A7643B">
      <w:pPr>
        <w:jc w:val="both"/>
      </w:pPr>
    </w:p>
    <w:p w14:paraId="050D49D5" w14:textId="77777777" w:rsidR="00A7643B" w:rsidRDefault="00A7643B" w:rsidP="00A7643B">
      <w:pPr>
        <w:jc w:val="both"/>
      </w:pPr>
    </w:p>
    <w:p w14:paraId="5534C0CC" w14:textId="77777777" w:rsidR="00A7643B" w:rsidRDefault="00A7643B" w:rsidP="00A7643B">
      <w:pPr>
        <w:jc w:val="both"/>
      </w:pPr>
    </w:p>
    <w:p w14:paraId="0559EB90" w14:textId="77777777" w:rsidR="00A7643B" w:rsidRDefault="00A7643B" w:rsidP="00A7643B">
      <w:pPr>
        <w:jc w:val="both"/>
      </w:pPr>
    </w:p>
    <w:p w14:paraId="796F3779" w14:textId="77777777" w:rsidR="00A7643B" w:rsidRDefault="00A7643B" w:rsidP="00A7643B">
      <w:pPr>
        <w:jc w:val="both"/>
      </w:pPr>
    </w:p>
    <w:p w14:paraId="0FAF32FD" w14:textId="77777777" w:rsidR="00A7643B" w:rsidRDefault="00A7643B" w:rsidP="00A7643B">
      <w:pPr>
        <w:jc w:val="both"/>
      </w:pPr>
    </w:p>
    <w:p w14:paraId="7852FAF8" w14:textId="77777777" w:rsidR="00A7643B" w:rsidRDefault="00A7643B" w:rsidP="00A7643B">
      <w:pPr>
        <w:jc w:val="both"/>
      </w:pPr>
    </w:p>
    <w:p w14:paraId="46A8C932" w14:textId="77777777" w:rsidR="00A7643B" w:rsidRPr="00A7643B" w:rsidRDefault="00A7643B" w:rsidP="00A7643B">
      <w:pPr>
        <w:jc w:val="both"/>
      </w:pPr>
      <w:r w:rsidRPr="00A7643B">
        <w:rPr>
          <w:b/>
          <w:bCs/>
        </w:rPr>
        <w:lastRenderedPageBreak/>
        <w:t>Protección de datos de salud en la actividad administrativa hospitalaria: aplicación práctica del Reglamento General de Protección de Datos y la LOPDGDD</w:t>
      </w:r>
    </w:p>
    <w:p w14:paraId="069F27B1" w14:textId="77777777" w:rsidR="00A7643B" w:rsidRPr="00A7643B" w:rsidRDefault="00A7643B" w:rsidP="00A7643B">
      <w:pPr>
        <w:jc w:val="both"/>
        <w:rPr>
          <w:b/>
          <w:bCs/>
        </w:rPr>
      </w:pPr>
      <w:r w:rsidRPr="00A7643B">
        <w:rPr>
          <w:b/>
          <w:bCs/>
        </w:rPr>
        <w:t>Resumen</w:t>
      </w:r>
    </w:p>
    <w:p w14:paraId="22C2623B" w14:textId="77777777" w:rsidR="00A7643B" w:rsidRPr="00A7643B" w:rsidRDefault="00A7643B" w:rsidP="00A7643B">
      <w:pPr>
        <w:jc w:val="both"/>
      </w:pPr>
      <w:r w:rsidRPr="00A7643B">
        <w:t>Los datos de salud constituyen una categoría especial de datos personales que goza de una protección reforzada tanto en el Reglamento (UE) 2016/679, General de Protección de Datos (RGPD), como en la Ley Orgánica 3/2018, de 5 de diciembre, de Protección de Datos Personales y garantía de los derechos digitales (LOPDGDD). El auxiliar administrativo hospitalario, por la propia naturaleza de sus funciones, accede diariamente a este tipo de información, lo que le sitúa en una posición de especial responsabilidad respecto de su tratamiento. Este trabajo revisa, a partir del análisis normativo y de guías institucionales, los principios y obligaciones aplicables al tratamiento de datos de salud en el contexto administrativo hospitalario, así como las implicaciones prácticas para este perfil profesional. Los resultados destacan la relevancia de principios como la minimización de datos, la confidencialidad y el acceso basado en el principio de necesidad de conocer, además de las obligaciones específicas derivadas del deber de secreto profesional. Se concluye que la formación continuada en esta materia es imprescindible dado el creciente marco regulatorio europeo en salud digital.</w:t>
      </w:r>
    </w:p>
    <w:p w14:paraId="163F3C5D" w14:textId="77777777" w:rsidR="00A7643B" w:rsidRPr="00A7643B" w:rsidRDefault="00A7643B" w:rsidP="00A7643B">
      <w:pPr>
        <w:jc w:val="both"/>
      </w:pPr>
      <w:r w:rsidRPr="00A7643B">
        <w:rPr>
          <w:b/>
          <w:bCs/>
        </w:rPr>
        <w:t xml:space="preserve">Palabras clave: </w:t>
      </w:r>
      <w:r w:rsidRPr="00A7643B">
        <w:rPr>
          <w:i/>
          <w:iCs/>
        </w:rPr>
        <w:t>Protección de datos; Reglamento General de Protección de Datos; LOPDGDD; Confidencialidad; Datos de salud; Auxiliar administrativo.</w:t>
      </w:r>
    </w:p>
    <w:p w14:paraId="12FB87D7" w14:textId="77777777" w:rsidR="00A7643B" w:rsidRPr="00A7643B" w:rsidRDefault="00A7643B" w:rsidP="00A7643B">
      <w:pPr>
        <w:jc w:val="both"/>
        <w:rPr>
          <w:b/>
          <w:bCs/>
          <w:lang w:val="en-GB"/>
        </w:rPr>
      </w:pPr>
      <w:r w:rsidRPr="00A7643B">
        <w:rPr>
          <w:b/>
          <w:bCs/>
          <w:lang w:val="en-GB"/>
        </w:rPr>
        <w:t>Abstract</w:t>
      </w:r>
    </w:p>
    <w:p w14:paraId="56970497" w14:textId="77777777" w:rsidR="00A7643B" w:rsidRPr="00A7643B" w:rsidRDefault="00A7643B" w:rsidP="00A7643B">
      <w:pPr>
        <w:jc w:val="both"/>
        <w:rPr>
          <w:lang w:val="en-GB"/>
        </w:rPr>
      </w:pPr>
      <w:r w:rsidRPr="00A7643B">
        <w:rPr>
          <w:lang w:val="en-GB"/>
        </w:rPr>
        <w:t xml:space="preserve">Health data constitute a special category of personal data subject to reinforced protection under both the EU General Data Protection Regulation (GDPR) and Spanish Organic Law 3/2018. Hospital administrative assistants, due to the nature of their duties, access this type of information </w:t>
      </w:r>
      <w:proofErr w:type="gramStart"/>
      <w:r w:rsidRPr="00A7643B">
        <w:rPr>
          <w:lang w:val="en-GB"/>
        </w:rPr>
        <w:t>on a daily basis</w:t>
      </w:r>
      <w:proofErr w:type="gramEnd"/>
      <w:r w:rsidRPr="00A7643B">
        <w:rPr>
          <w:lang w:val="en-GB"/>
        </w:rPr>
        <w:t xml:space="preserve">, placing them in a position of </w:t>
      </w:r>
      <w:proofErr w:type="gramStart"/>
      <w:r w:rsidRPr="00A7643B">
        <w:rPr>
          <w:lang w:val="en-GB"/>
        </w:rPr>
        <w:t>particular responsibility</w:t>
      </w:r>
      <w:proofErr w:type="gramEnd"/>
      <w:r w:rsidRPr="00A7643B">
        <w:rPr>
          <w:lang w:val="en-GB"/>
        </w:rPr>
        <w:t>. This paper reviews, through regulatory and institutional guidance analysis, the principles and obligations applicable to health data processing in the hospital administrative context, and their practical implications for this professional profile. Results highlight the relevance of principles such as data minimisation, confidentiality and need-to-know based access, alongside specific obligations derived from professional secrecy duties. Continuous training in this area is concluded to be essential given the growing European regulatory framework on digital health.</w:t>
      </w:r>
    </w:p>
    <w:p w14:paraId="7A980B9D" w14:textId="77777777" w:rsidR="00A7643B" w:rsidRPr="00A7643B" w:rsidRDefault="00A7643B" w:rsidP="00A7643B">
      <w:pPr>
        <w:jc w:val="both"/>
        <w:rPr>
          <w:lang w:val="en-GB"/>
        </w:rPr>
      </w:pPr>
      <w:r w:rsidRPr="00A7643B">
        <w:rPr>
          <w:b/>
          <w:bCs/>
          <w:lang w:val="en-GB"/>
        </w:rPr>
        <w:t xml:space="preserve">Keywords: </w:t>
      </w:r>
      <w:r w:rsidRPr="00A7643B">
        <w:rPr>
          <w:i/>
          <w:iCs/>
          <w:lang w:val="en-GB"/>
        </w:rPr>
        <w:t>Data protection; General Data Protection Regulation; LOPDGDD; Confidentiality; Health data; Administrative assistant.</w:t>
      </w:r>
    </w:p>
    <w:p w14:paraId="3602826B" w14:textId="77777777" w:rsidR="00A7643B" w:rsidRPr="00A7643B" w:rsidRDefault="00A7643B" w:rsidP="00A7643B">
      <w:pPr>
        <w:jc w:val="both"/>
        <w:rPr>
          <w:b/>
          <w:bCs/>
        </w:rPr>
      </w:pPr>
      <w:r w:rsidRPr="00A7643B">
        <w:rPr>
          <w:b/>
          <w:bCs/>
        </w:rPr>
        <w:t>1. Introducción</w:t>
      </w:r>
    </w:p>
    <w:p w14:paraId="19520A6E" w14:textId="77777777" w:rsidR="00A7643B" w:rsidRPr="00A7643B" w:rsidRDefault="00A7643B" w:rsidP="00A7643B">
      <w:pPr>
        <w:jc w:val="both"/>
      </w:pPr>
      <w:r w:rsidRPr="00A7643B">
        <w:lastRenderedPageBreak/>
        <w:t>El artículo 9.1 del Reglamento (UE) 2016/679 del Parlamento Europeo y del Consejo, de 27 de abril de 2016, relativo a la protección de las personas físicas en lo que respecta al tratamiento de datos personales (en adelante, RGPD), incluye expresamente los datos relativos a la salud dentro de las categorías especiales de datos, cuyo tratamiento está sujeto, con carácter general, a una prohibición que solo cede ante determinadas excepciones tasadas, entre ellas la necesaria para fines de gestión de los sistemas y servicios de asistencia sanitaria (art. 9.2.h) (1).</w:t>
      </w:r>
    </w:p>
    <w:p w14:paraId="7B66E357" w14:textId="77777777" w:rsidR="00A7643B" w:rsidRPr="00A7643B" w:rsidRDefault="00A7643B" w:rsidP="00A7643B">
      <w:pPr>
        <w:jc w:val="both"/>
      </w:pPr>
      <w:r w:rsidRPr="00A7643B">
        <w:t>En España, el RGPD se complementa con la Ley Orgánica 3/2018, de 5 de diciembre, de Protección de Datos Personales y garantía de los derechos digitales (LOPDGDD), que desarrolla varias de las cláusulas de apertura que el propio Reglamento europeo reserva a los Estados miembros, e incorpora además un catálogo de derechos digitales en su Título X (2). Ambas normas conforman el marco jurídico de referencia para cualquier tratamiento de datos de salud realizado en el ámbito hospitalario, incluidas las tareas administrativas de registro, archivo, citación o gestión de pacientes.</w:t>
      </w:r>
    </w:p>
    <w:p w14:paraId="352C8874" w14:textId="77777777" w:rsidR="00A7643B" w:rsidRPr="00A7643B" w:rsidRDefault="00A7643B" w:rsidP="00A7643B">
      <w:pPr>
        <w:jc w:val="both"/>
      </w:pPr>
      <w:r w:rsidRPr="00A7643B">
        <w:t>El auxiliar administrativo, por la propia naturaleza de sus funciones (identificación de pacientes, gestión de historias clínicas, citación, tramitación de altas y traslados), es uno de los perfiles profesionales que con mayor frecuencia accede a datos de salud en el día a día hospitalario, sin ser necesariamente personal sanitario en sentido estricto. El objetivo de este trabajo es analizar, mediante una revisión del marco normativo vigente y de las guías institucionales disponibles, los principios y obligaciones de protección de datos aplicables a la actividad administrativa hospitalaria, y sus implicaciones prácticas para este perfil profesional.</w:t>
      </w:r>
    </w:p>
    <w:p w14:paraId="087B89C2" w14:textId="77777777" w:rsidR="00A7643B" w:rsidRPr="00A7643B" w:rsidRDefault="00A7643B" w:rsidP="00A7643B">
      <w:pPr>
        <w:jc w:val="both"/>
        <w:rPr>
          <w:b/>
          <w:bCs/>
        </w:rPr>
      </w:pPr>
      <w:r w:rsidRPr="00A7643B">
        <w:rPr>
          <w:b/>
          <w:bCs/>
        </w:rPr>
        <w:t>2. Metodología</w:t>
      </w:r>
    </w:p>
    <w:p w14:paraId="06609320" w14:textId="77777777" w:rsidR="00A7643B" w:rsidRPr="00A7643B" w:rsidRDefault="00A7643B" w:rsidP="00A7643B">
      <w:pPr>
        <w:jc w:val="both"/>
      </w:pPr>
      <w:r w:rsidRPr="00A7643B">
        <w:t>Se ha realizado un análisis documental del Reglamento (UE) 2016/679 (RGPD), de la Ley Orgánica 3/2018 (LOPDGDD) y de las modificaciones que esta última introduce en la Ley 41/2002 en materia de tratamiento de datos de salud. Se han revisado, asimismo, las guías sectoriales publicadas por la Agencia Española de Protección de Datos (AEPD) relativas al ámbito sanitario, así como documentación institucional del Ministerio de Sanidad sobre protección de datos en el Sistema Nacional de Salud.</w:t>
      </w:r>
    </w:p>
    <w:p w14:paraId="41F8D637" w14:textId="77777777" w:rsidR="00A7643B" w:rsidRPr="00A7643B" w:rsidRDefault="00A7643B" w:rsidP="00A7643B">
      <w:pPr>
        <w:jc w:val="both"/>
      </w:pPr>
      <w:r w:rsidRPr="00A7643B">
        <w:t>Se ha incorporado también al análisis el Reglamento (UE) 2025/327, relativo al Espacio Europeo de Datos Sanitarios (</w:t>
      </w:r>
      <w:proofErr w:type="spellStart"/>
      <w:r w:rsidRPr="00A7643B">
        <w:t>European</w:t>
      </w:r>
      <w:proofErr w:type="spellEnd"/>
      <w:r w:rsidRPr="00A7643B">
        <w:t xml:space="preserve"> Health Data Space, EHDS), por su relevancia creciente en la configuración del marco futuro de tratamiento e intercambio de datos de salud en la Unión Europea, así como la consulta pública previa del Anteproyecto de Ley de Salud Digital impulsada por el Ministerio de Sanidad en España.</w:t>
      </w:r>
    </w:p>
    <w:p w14:paraId="023EE08A" w14:textId="77777777" w:rsidR="00A7643B" w:rsidRPr="00A7643B" w:rsidRDefault="00A7643B" w:rsidP="00A7643B">
      <w:pPr>
        <w:jc w:val="both"/>
      </w:pPr>
      <w:r w:rsidRPr="00A7643B">
        <w:lastRenderedPageBreak/>
        <w:t>La información obtenida se ha organizado en torno a tres ejes: (a) los principios generales de protección de datos aplicables al tratamiento de datos de salud; (b) las obligaciones específicas del personal administrativo en el acceso y tratamiento de esta información; y (c) los retos derivados del nuevo marco regulatorio europeo en materia de salud digital.</w:t>
      </w:r>
    </w:p>
    <w:p w14:paraId="4138B878" w14:textId="77777777" w:rsidR="00A7643B" w:rsidRPr="00A7643B" w:rsidRDefault="00A7643B" w:rsidP="00A7643B">
      <w:pPr>
        <w:jc w:val="both"/>
        <w:rPr>
          <w:b/>
          <w:bCs/>
        </w:rPr>
      </w:pPr>
      <w:r w:rsidRPr="00A7643B">
        <w:rPr>
          <w:b/>
          <w:bCs/>
        </w:rPr>
        <w:t>3. Resultados</w:t>
      </w:r>
    </w:p>
    <w:p w14:paraId="38099F20" w14:textId="77777777" w:rsidR="00A7643B" w:rsidRPr="00A7643B" w:rsidRDefault="00A7643B" w:rsidP="00A7643B">
      <w:pPr>
        <w:jc w:val="both"/>
      </w:pPr>
      <w:r w:rsidRPr="00A7643B">
        <w:t>El análisis normativo permite identificar los siguientes elementos clave para la actividad administrativa hospitalaria:</w:t>
      </w:r>
    </w:p>
    <w:p w14:paraId="642A5CB3" w14:textId="77777777" w:rsidR="00A7643B" w:rsidRPr="00A7643B" w:rsidRDefault="00A7643B" w:rsidP="00A7643B">
      <w:pPr>
        <w:numPr>
          <w:ilvl w:val="0"/>
          <w:numId w:val="3"/>
        </w:numPr>
        <w:jc w:val="both"/>
      </w:pPr>
      <w:r w:rsidRPr="00A7643B">
        <w:t>Principios generales (art. 5 RGPD): licitud, lealtad y transparencia; limitación de la finalidad (los datos solo pueden usarse para los fines para los que fueron recogidos); minimización de datos (acceder y tratar únicamente los datos estrictamente necesarios para la tarea concreta); exactitud; limitación del plazo de conservación; e integridad y confidencialidad.</w:t>
      </w:r>
    </w:p>
    <w:p w14:paraId="48332335" w14:textId="77777777" w:rsidR="00A7643B" w:rsidRPr="00A7643B" w:rsidRDefault="00A7643B" w:rsidP="00A7643B">
      <w:pPr>
        <w:numPr>
          <w:ilvl w:val="0"/>
          <w:numId w:val="3"/>
        </w:numPr>
        <w:jc w:val="both"/>
      </w:pPr>
      <w:r w:rsidRPr="00A7643B">
        <w:t>Base de legitimación específica: el tratamiento de datos de salud con fines de gestión de los sistemas y servicios de asistencia sanitaria se ampara en el artículo 9.2.h) del RGPD, en relación con la disposición adicional decimoséptima de la LOPDGDD, que exige que dicho tratamiento esté amparado por una norma con rango de ley (como la propia Ley 41/2002) (2,3).</w:t>
      </w:r>
    </w:p>
    <w:p w14:paraId="6CDA7C79" w14:textId="77777777" w:rsidR="00A7643B" w:rsidRPr="00A7643B" w:rsidRDefault="00A7643B" w:rsidP="00A7643B">
      <w:pPr>
        <w:numPr>
          <w:ilvl w:val="0"/>
          <w:numId w:val="3"/>
        </w:numPr>
        <w:jc w:val="both"/>
      </w:pPr>
      <w:r w:rsidRPr="00A7643B">
        <w:t>Principio de «necesidad de conocer»: el acceso del personal administrativo a los datos de salud debe limitarse a lo estrictamente necesario para el desempeño de sus funciones concretas, evitando accesos genéricos o indiscriminados a la información clínica completa del paciente cuando no resulten necesarios para la tarea administrativa en curso.</w:t>
      </w:r>
    </w:p>
    <w:p w14:paraId="14E60E18" w14:textId="77777777" w:rsidR="00A7643B" w:rsidRPr="00A7643B" w:rsidRDefault="00A7643B" w:rsidP="00A7643B">
      <w:pPr>
        <w:numPr>
          <w:ilvl w:val="0"/>
          <w:numId w:val="3"/>
        </w:numPr>
        <w:jc w:val="both"/>
      </w:pPr>
      <w:r w:rsidRPr="00A7643B">
        <w:t>Deber de secreto profesional: toda persona que intervenga en el tratamiento de datos de salud está sujeta al deber de secreto respecto de dicha información, obligación que se mantiene incluso una vez finalizada la relación laboral o profesional con el centro sanitario.</w:t>
      </w:r>
    </w:p>
    <w:p w14:paraId="58B763FE" w14:textId="77777777" w:rsidR="00A7643B" w:rsidRPr="00A7643B" w:rsidRDefault="00A7643B" w:rsidP="00A7643B">
      <w:pPr>
        <w:numPr>
          <w:ilvl w:val="0"/>
          <w:numId w:val="3"/>
        </w:numPr>
        <w:jc w:val="both"/>
      </w:pPr>
      <w:r w:rsidRPr="00A7643B">
        <w:t>Medidas de seguridad de carácter organizativo: uso de credenciales de acceso personales e intransferibles a los sistemas de información, bloqueo de pantalla en ausencias, custodia adecuada de documentación en soporte papel, y comunicación inmediata de cualquier incidencia de seguridad detectada.</w:t>
      </w:r>
    </w:p>
    <w:p w14:paraId="0E83E6BC" w14:textId="77777777" w:rsidR="00A7643B" w:rsidRPr="00A7643B" w:rsidRDefault="00A7643B" w:rsidP="00A7643B">
      <w:pPr>
        <w:numPr>
          <w:ilvl w:val="0"/>
          <w:numId w:val="3"/>
        </w:numPr>
        <w:jc w:val="both"/>
      </w:pPr>
      <w:r w:rsidRPr="00A7643B">
        <w:t xml:space="preserve">Derechos de las personas interesadas: acceso, rectificación, supresión (limitada, en el caso de la historia clínica, por los plazos legales de conservación de la Ley 41/2002), limitación del tratamiento y portabilidad, cuya gestión práctica suele canalizarse a través del delegado de protección </w:t>
      </w:r>
      <w:r w:rsidRPr="00A7643B">
        <w:lastRenderedPageBreak/>
        <w:t>de datos (DPD) del centro, figura de designación obligatoria en el ámbito sanitario conforme al artículo 34 de la LOPDGDD.</w:t>
      </w:r>
    </w:p>
    <w:p w14:paraId="75377D81" w14:textId="77777777" w:rsidR="00A7643B" w:rsidRPr="00A7643B" w:rsidRDefault="00A7643B" w:rsidP="00A7643B">
      <w:pPr>
        <w:jc w:val="both"/>
      </w:pPr>
      <w:r w:rsidRPr="00A7643B">
        <w:t>Se ha identificado, además, un marco regulatorio europeo emergente —el Reglamento (UE) 2025/327 sobre el Espacio Europeo de Datos Sanitarios— orientado a facilitar el intercambio interoperable de datos de salud entre Estados miembros, tanto para fines asistenciales (uso primario) como para investigación y planificación sanitaria (uso secundario), que previsiblemente ampliará en los próximos años las obligaciones y garantías aplicables al tratamiento de esta información (4).</w:t>
      </w:r>
    </w:p>
    <w:p w14:paraId="6CD6BB71" w14:textId="77777777" w:rsidR="00A7643B" w:rsidRPr="00A7643B" w:rsidRDefault="00A7643B" w:rsidP="00A7643B">
      <w:pPr>
        <w:jc w:val="both"/>
        <w:rPr>
          <w:b/>
          <w:bCs/>
        </w:rPr>
      </w:pPr>
      <w:r w:rsidRPr="00A7643B">
        <w:rPr>
          <w:b/>
          <w:bCs/>
        </w:rPr>
        <w:t>4. Discusión</w:t>
      </w:r>
    </w:p>
    <w:p w14:paraId="04E1C861" w14:textId="77777777" w:rsidR="00A7643B" w:rsidRPr="00A7643B" w:rsidRDefault="00A7643B" w:rsidP="00A7643B">
      <w:pPr>
        <w:jc w:val="both"/>
      </w:pPr>
      <w:r w:rsidRPr="00A7643B">
        <w:t>Los resultados de esta revisión ponen de manifiesto que la protección de datos de salud no puede entenderse como una cuestión ajena a la actividad administrativa hospitalaria, sino como una dimensión intrínseca de la misma. El auxiliar administrativo, en su interacción diaria con sistemas de información que contienen datos de salud, se convierte en un agente activo en la garantía —o, en caso de mal uso, en el riesgo— de los derechos de protección de datos de los pacientes.</w:t>
      </w:r>
    </w:p>
    <w:p w14:paraId="64D0DB1F" w14:textId="77777777" w:rsidR="00A7643B" w:rsidRPr="00A7643B" w:rsidRDefault="00A7643B" w:rsidP="00A7643B">
      <w:pPr>
        <w:jc w:val="both"/>
      </w:pPr>
      <w:r w:rsidRPr="00A7643B">
        <w:t>Un aspecto especialmente relevante es la tensión, señalada también en la literatura sobre gestión sanitaria, entre la necesidad de facilitar el acceso a la información para garantizar la continuidad asistencial y la exigencia de minimización y limitación de acceso que impone la normativa de protección de datos. Esta tensión se resuelve, en la práctica, mediante el diseño de sistemas de información con perfiles de acceso diferenciados según la función de cada profesional, un aspecto que debería reforzarse en el diseño de los sistemas de información hospitalaria.</w:t>
      </w:r>
    </w:p>
    <w:p w14:paraId="3B7322B5" w14:textId="77777777" w:rsidR="00A7643B" w:rsidRPr="00A7643B" w:rsidRDefault="00A7643B" w:rsidP="00A7643B">
      <w:pPr>
        <w:jc w:val="both"/>
      </w:pPr>
      <w:r w:rsidRPr="00A7643B">
        <w:t>Asimismo, se constata que buena parte de las incidencias de seguridad de la información en el ámbito sanitario no se derivan de ataques externos sofisticados, sino de errores humanos evitables (documentación visible en mostradores, pantallas desatendidas, comunicación de información por canales inadecuados), lo que subraya la importancia de la formación continuada y de la concienciación del personal administrativo como medida de protección más eficaz que las meramente tecnológicas.</w:t>
      </w:r>
    </w:p>
    <w:p w14:paraId="4B07498D" w14:textId="77777777" w:rsidR="00A7643B" w:rsidRPr="00A7643B" w:rsidRDefault="00A7643B" w:rsidP="00A7643B">
      <w:pPr>
        <w:jc w:val="both"/>
      </w:pPr>
      <w:r w:rsidRPr="00A7643B">
        <w:t>Por último, la entrada en vigor progresiva del Reglamento del Espacio Europeo de Datos Sanitarios y el desarrollo del anteproyecto español de Ley de Salud Digital anticipan un escenario regulatorio más exigente y complejo, que requerirá una actualización constante de los conocimientos del personal administrativo en esta materia.</w:t>
      </w:r>
    </w:p>
    <w:p w14:paraId="719D9138" w14:textId="77777777" w:rsidR="00A7643B" w:rsidRPr="00A7643B" w:rsidRDefault="00A7643B" w:rsidP="00A7643B">
      <w:pPr>
        <w:jc w:val="both"/>
        <w:rPr>
          <w:b/>
          <w:bCs/>
        </w:rPr>
      </w:pPr>
      <w:r w:rsidRPr="00A7643B">
        <w:rPr>
          <w:b/>
          <w:bCs/>
        </w:rPr>
        <w:t>5. Conclusiones</w:t>
      </w:r>
    </w:p>
    <w:p w14:paraId="44D8F9DE" w14:textId="77777777" w:rsidR="00A7643B" w:rsidRPr="00A7643B" w:rsidRDefault="00A7643B" w:rsidP="00A7643B">
      <w:pPr>
        <w:jc w:val="both"/>
      </w:pPr>
      <w:r w:rsidRPr="00A7643B">
        <w:lastRenderedPageBreak/>
        <w:t>El tratamiento de datos de salud en el ámbito administrativo hospitalario está sujeto a un marco normativo exigente, conformado principalmente por el RGPD y la LOPDGDD, que exige del auxiliar administrativo un conocimiento sólido de principios como la minimización de datos, la necesidad de conocer y el deber de secreto profesional.</w:t>
      </w:r>
    </w:p>
    <w:p w14:paraId="52F6A279" w14:textId="77777777" w:rsidR="00A7643B" w:rsidRPr="00A7643B" w:rsidRDefault="00A7643B" w:rsidP="00A7643B">
      <w:pPr>
        <w:jc w:val="both"/>
      </w:pPr>
      <w:r w:rsidRPr="00A7643B">
        <w:t>La mayor parte de los riesgos identificados en la práctica se relacionan con errores humanos evitables, más que con amenazas tecnológicas externas, lo que sitúa a la formación continuada y a la concienciación del personal como la medida de protección más eficaz y prioritaria.</w:t>
      </w:r>
    </w:p>
    <w:p w14:paraId="5AC3DA37" w14:textId="77777777" w:rsidR="00A7643B" w:rsidRPr="00A7643B" w:rsidRDefault="00A7643B" w:rsidP="00A7643B">
      <w:pPr>
        <w:jc w:val="both"/>
      </w:pPr>
      <w:r w:rsidRPr="00A7643B">
        <w:t>El desarrollo del marco regulatorio europeo en salud digital, en particular el Reglamento del Espacio Europeo de Datos Sanitarios, anticipa nuevas exigencias en los próximos años, por lo que se recomienda anticipar la formación del personal administrativo en esta materia como parte de la estrategia de calidad y seguridad de los centros sanitarios.</w:t>
      </w:r>
    </w:p>
    <w:p w14:paraId="26975D27" w14:textId="77777777" w:rsidR="00A7643B" w:rsidRPr="00A7643B" w:rsidRDefault="00A7643B" w:rsidP="00A7643B">
      <w:pPr>
        <w:jc w:val="both"/>
        <w:rPr>
          <w:b/>
          <w:bCs/>
        </w:rPr>
      </w:pPr>
      <w:r w:rsidRPr="00A7643B">
        <w:rPr>
          <w:b/>
          <w:bCs/>
        </w:rPr>
        <w:t>Bibliografía</w:t>
      </w:r>
    </w:p>
    <w:p w14:paraId="17DD6D99" w14:textId="77777777" w:rsidR="00A7643B" w:rsidRPr="00A7643B" w:rsidRDefault="00A7643B" w:rsidP="00A7643B">
      <w:pPr>
        <w:jc w:val="both"/>
      </w:pPr>
      <w:r w:rsidRPr="00A7643B">
        <w:rPr>
          <w:i/>
          <w:iCs/>
        </w:rPr>
        <w:t>Referencias citadas según normas de Vancouver, por orden de aparición en el texto:</w:t>
      </w:r>
    </w:p>
    <w:p w14:paraId="24C2448D" w14:textId="77777777" w:rsidR="00A7643B" w:rsidRPr="00A7643B" w:rsidRDefault="00A7643B" w:rsidP="00A7643B">
      <w:pPr>
        <w:jc w:val="both"/>
      </w:pPr>
      <w:r w:rsidRPr="00A7643B">
        <w:t>1. Unión Europea. Reglamento (UE) 2016/679 del Parlamento Europeo y del Consejo, de 27 de abril de 2016, relativo a la protección de las personas físicas en lo que respecta al tratamiento de datos personales (RGPD). Diario Oficial de la Unión Europea, L119, de 4 de mayo de 2016.</w:t>
      </w:r>
    </w:p>
    <w:p w14:paraId="4BCC9104" w14:textId="77777777" w:rsidR="00A7643B" w:rsidRPr="00A7643B" w:rsidRDefault="00A7643B" w:rsidP="00A7643B">
      <w:pPr>
        <w:jc w:val="both"/>
      </w:pPr>
      <w:r w:rsidRPr="00A7643B">
        <w:t xml:space="preserve">2. España. Ley Orgánica 3/2018, de 5 de diciembre, de Protección de Datos Personales y garantía de los derechos digitales. Boletín Oficial del Estado, </w:t>
      </w:r>
      <w:proofErr w:type="spellStart"/>
      <w:r w:rsidRPr="00A7643B">
        <w:t>nº</w:t>
      </w:r>
      <w:proofErr w:type="spellEnd"/>
      <w:r w:rsidRPr="00A7643B">
        <w:t xml:space="preserve"> 294, de 6 de diciembre de 2018.</w:t>
      </w:r>
    </w:p>
    <w:p w14:paraId="01E41E59" w14:textId="77777777" w:rsidR="00A7643B" w:rsidRPr="00A7643B" w:rsidRDefault="00A7643B" w:rsidP="00A7643B">
      <w:pPr>
        <w:jc w:val="both"/>
      </w:pPr>
      <w:r w:rsidRPr="00A7643B">
        <w:t xml:space="preserve">3. España. Ley 41/2002, de 14 de noviembre, básica reguladora de la autonomía del paciente y de derechos y obligaciones en materia de información y documentación clínica. Boletín Oficial del Estado, </w:t>
      </w:r>
      <w:proofErr w:type="spellStart"/>
      <w:r w:rsidRPr="00A7643B">
        <w:t>nº</w:t>
      </w:r>
      <w:proofErr w:type="spellEnd"/>
      <w:r w:rsidRPr="00A7643B">
        <w:t xml:space="preserve"> 274, de 15 de noviembre de 2002.</w:t>
      </w:r>
    </w:p>
    <w:p w14:paraId="276CF248" w14:textId="77777777" w:rsidR="00A7643B" w:rsidRPr="00A7643B" w:rsidRDefault="00A7643B" w:rsidP="00A7643B">
      <w:pPr>
        <w:jc w:val="both"/>
      </w:pPr>
      <w:r w:rsidRPr="00A7643B">
        <w:t>4. Unión Europea. Reglamento (UE) 2025/327 del Parlamento Europeo y del Consejo, relativo al Espacio Europeo de Datos Sanitarios. Diario Oficial de la Unión Europea, 2025.</w:t>
      </w:r>
    </w:p>
    <w:p w14:paraId="1997859C" w14:textId="77777777" w:rsidR="00A7643B" w:rsidRPr="00A7643B" w:rsidRDefault="00A7643B" w:rsidP="00A7643B">
      <w:pPr>
        <w:jc w:val="both"/>
      </w:pPr>
      <w:r w:rsidRPr="00A7643B">
        <w:t>5. Agencia Española de Protección de Datos. Guía para pacientes y usuarios de la sanidad. Madrid: AEPD; 2020.</w:t>
      </w:r>
    </w:p>
    <w:p w14:paraId="64ED66CB" w14:textId="77777777" w:rsidR="00A7643B" w:rsidRPr="00A7643B" w:rsidRDefault="00A7643B" w:rsidP="00A7643B">
      <w:pPr>
        <w:jc w:val="both"/>
      </w:pPr>
      <w:r w:rsidRPr="00A7643B">
        <w:t>6. Agencia Española de Protección de Datos. Orientaciones para el cumplimiento del deber de informar en el ámbito sanitario. Madrid: AEPD; 2021.</w:t>
      </w:r>
    </w:p>
    <w:p w14:paraId="028D71A3" w14:textId="77777777" w:rsidR="00A7643B" w:rsidRPr="00A7643B" w:rsidRDefault="00A7643B" w:rsidP="00A7643B">
      <w:pPr>
        <w:jc w:val="both"/>
      </w:pPr>
      <w:r w:rsidRPr="00A7643B">
        <w:t>7. Ministerio de Sanidad. Consulta pública previa del Anteproyecto de Ley de Salud Digital. Madrid: Ministerio de Sanidad; 2026.</w:t>
      </w:r>
    </w:p>
    <w:p w14:paraId="625483A5" w14:textId="77777777" w:rsidR="00A7643B" w:rsidRPr="00A7643B" w:rsidRDefault="00A7643B" w:rsidP="00A7643B">
      <w:pPr>
        <w:jc w:val="both"/>
      </w:pPr>
      <w:r w:rsidRPr="00A7643B">
        <w:rPr>
          <w:b/>
          <w:bCs/>
        </w:rPr>
        <w:lastRenderedPageBreak/>
        <w:t>Atención al usuario y humanización en los servicios de admisión y atención al paciente hospitalario</w:t>
      </w:r>
    </w:p>
    <w:p w14:paraId="65979F94" w14:textId="77777777" w:rsidR="00A7643B" w:rsidRPr="00A7643B" w:rsidRDefault="00A7643B" w:rsidP="00A7643B">
      <w:pPr>
        <w:jc w:val="both"/>
        <w:rPr>
          <w:b/>
          <w:bCs/>
        </w:rPr>
      </w:pPr>
      <w:r w:rsidRPr="00A7643B">
        <w:rPr>
          <w:b/>
          <w:bCs/>
        </w:rPr>
        <w:t>Resumen</w:t>
      </w:r>
    </w:p>
    <w:p w14:paraId="04D1EA14" w14:textId="77777777" w:rsidR="00A7643B" w:rsidRPr="00A7643B" w:rsidRDefault="00A7643B" w:rsidP="00A7643B">
      <w:pPr>
        <w:jc w:val="both"/>
      </w:pPr>
      <w:r w:rsidRPr="00A7643B">
        <w:t>La humanización de la asistencia sanitaria se ha consolidado en la última década como una prioridad estratégica de los sistemas de salud, y los servicios de admisión y atención al paciente, por ser habitualmente el primer y el último punto de contacto administrativo del paciente con el hospital, desempeñan un papel determinante en la experiencia percibida de humanización. Este trabajo revisa, a partir de la literatura sobre experiencia del paciente y de los planes de humanización desarrollados por distintas administraciones sanitarias españolas, el papel del auxiliar administrativo en la atención al usuario, identificando las competencias comunicativas y actitudinales necesarias, la atención a colectivos vulnerables, y los principales retos organizativos. Los resultados muestran que, si bien la dimensión técnica de la admisión hospitalaria está relativamente bien protocolizada, la dimensión relacional y comunicativa recibe todavía una atención formativa insuficiente, a pesar de su influencia demostrada en la satisfacción y en la percepción de calidad del paciente.</w:t>
      </w:r>
    </w:p>
    <w:p w14:paraId="040DB7AB" w14:textId="77777777" w:rsidR="00A7643B" w:rsidRPr="00A7643B" w:rsidRDefault="00A7643B" w:rsidP="00A7643B">
      <w:pPr>
        <w:jc w:val="both"/>
      </w:pPr>
      <w:r w:rsidRPr="00A7643B">
        <w:rPr>
          <w:b/>
          <w:bCs/>
        </w:rPr>
        <w:t xml:space="preserve">Palabras clave: </w:t>
      </w:r>
      <w:r w:rsidRPr="00A7643B">
        <w:rPr>
          <w:i/>
          <w:iCs/>
        </w:rPr>
        <w:t>Humanización de la asistencia; Atención al usuario; Comunicación; Experiencia del paciente; Servicios de admisión.</w:t>
      </w:r>
    </w:p>
    <w:p w14:paraId="1D4BC9A7" w14:textId="77777777" w:rsidR="00A7643B" w:rsidRPr="00A7643B" w:rsidRDefault="00A7643B" w:rsidP="00A7643B">
      <w:pPr>
        <w:jc w:val="both"/>
        <w:rPr>
          <w:b/>
          <w:bCs/>
          <w:lang w:val="en-GB"/>
        </w:rPr>
      </w:pPr>
      <w:r w:rsidRPr="00A7643B">
        <w:rPr>
          <w:b/>
          <w:bCs/>
          <w:lang w:val="en-GB"/>
        </w:rPr>
        <w:t>Abstract</w:t>
      </w:r>
    </w:p>
    <w:p w14:paraId="7F83DDC9" w14:textId="77777777" w:rsidR="00A7643B" w:rsidRPr="00A7643B" w:rsidRDefault="00A7643B" w:rsidP="00A7643B">
      <w:pPr>
        <w:jc w:val="both"/>
        <w:rPr>
          <w:lang w:val="en-GB"/>
        </w:rPr>
      </w:pPr>
      <w:r w:rsidRPr="00A7643B">
        <w:rPr>
          <w:lang w:val="en-GB"/>
        </w:rPr>
        <w:t>Healthcare humanisation has become a strategic priority for health systems over the past decade, and hospital admission and patient services, usually being the first and last administrative point of contact for patients, play a determining role in the perceived humanisation experience. This paper reviews, based on patient experience literature and humanisation plans developed by various Spanish health administrations, the role of administrative assistants in user care, identifying necessary communication and attitudinal competencies, attention to vulnerable groups, and main organisational challenges. Results show that, while the technical dimension of hospital admission is relatively well protocolised, the relational and communicative dimension still receives insufficient training attention, despite its demonstrated influence on patient satisfaction and perceived quality.</w:t>
      </w:r>
    </w:p>
    <w:p w14:paraId="00E06B39" w14:textId="77777777" w:rsidR="00A7643B" w:rsidRPr="00A7643B" w:rsidRDefault="00A7643B" w:rsidP="00A7643B">
      <w:pPr>
        <w:jc w:val="both"/>
        <w:rPr>
          <w:lang w:val="en-GB"/>
        </w:rPr>
      </w:pPr>
      <w:r w:rsidRPr="00A7643B">
        <w:rPr>
          <w:b/>
          <w:bCs/>
          <w:lang w:val="en-GB"/>
        </w:rPr>
        <w:t xml:space="preserve">Keywords: </w:t>
      </w:r>
      <w:r w:rsidRPr="00A7643B">
        <w:rPr>
          <w:i/>
          <w:iCs/>
          <w:lang w:val="en-GB"/>
        </w:rPr>
        <w:t>Healthcare humanisation; User care; Communication; Patient experience; Admission services.</w:t>
      </w:r>
    </w:p>
    <w:p w14:paraId="3C7E1F48" w14:textId="77777777" w:rsidR="00A7643B" w:rsidRPr="00A7643B" w:rsidRDefault="00A7643B" w:rsidP="00A7643B">
      <w:pPr>
        <w:jc w:val="both"/>
        <w:rPr>
          <w:b/>
          <w:bCs/>
        </w:rPr>
      </w:pPr>
      <w:r w:rsidRPr="00A7643B">
        <w:rPr>
          <w:b/>
          <w:bCs/>
        </w:rPr>
        <w:t>1. Introducción</w:t>
      </w:r>
    </w:p>
    <w:p w14:paraId="4D82E220" w14:textId="77777777" w:rsidR="00A7643B" w:rsidRPr="00A7643B" w:rsidRDefault="00A7643B" w:rsidP="00A7643B">
      <w:pPr>
        <w:jc w:val="both"/>
      </w:pPr>
      <w:r w:rsidRPr="00A7643B">
        <w:t xml:space="preserve">En los últimos años, numerosas administraciones sanitarias españolas han desarrollado planes específicos de humanización de la asistencia sanitaria, entendida como un enfoque que sitúa al paciente y a sus necesidades, no solo </w:t>
      </w:r>
      <w:r w:rsidRPr="00A7643B">
        <w:lastRenderedPageBreak/>
        <w:t>clínicas sino también emocionales e informativas, en el centro de la organización asistencial (1). Estos planes suelen prestar especial atención a los momentos de mayor vulnerabilidad del paciente, entre los que se encuentra, de forma destacada, el momento del ingreso hospitalario y el contacto inicial con los servicios de admisión.</w:t>
      </w:r>
    </w:p>
    <w:p w14:paraId="3129CA2E" w14:textId="77777777" w:rsidR="00A7643B" w:rsidRPr="00A7643B" w:rsidRDefault="00A7643B" w:rsidP="00A7643B">
      <w:pPr>
        <w:jc w:val="both"/>
      </w:pPr>
      <w:r w:rsidRPr="00A7643B">
        <w:t>El auxiliar administrativo que trabaja en admisión, atención al paciente o secretarías de servicios clínicos ocupa, en este sentido, una posición estratégica: es habitualmente la primera persona con la que el paciente y su familia interactúan al llegar al hospital, en un momento a menudo cargado de incertidumbre, ansiedad o dolor, y también quien gestiona buena parte de los trámites del alta, otro momento crítico en la experiencia del paciente.</w:t>
      </w:r>
    </w:p>
    <w:p w14:paraId="2B3E1769" w14:textId="77777777" w:rsidR="00A7643B" w:rsidRPr="00A7643B" w:rsidRDefault="00A7643B" w:rsidP="00A7643B">
      <w:pPr>
        <w:jc w:val="both"/>
      </w:pPr>
      <w:r w:rsidRPr="00A7643B">
        <w:t>El objetivo de este trabajo es analizar, a través de una revisión de la literatura sobre experiencia y humanización de la atención sanitaria, el papel del auxiliar administrativo en la atención al usuario, con especial atención a las competencias comunicativas necesarias, a la atención a colectivos especialmente vulnerables, y a los retos organizativos que dificultan, en la práctica, una atención plenamente humanizada.</w:t>
      </w:r>
    </w:p>
    <w:p w14:paraId="0814E2AD" w14:textId="77777777" w:rsidR="00A7643B" w:rsidRPr="00A7643B" w:rsidRDefault="00A7643B" w:rsidP="00A7643B">
      <w:pPr>
        <w:jc w:val="both"/>
        <w:rPr>
          <w:b/>
          <w:bCs/>
        </w:rPr>
      </w:pPr>
      <w:r w:rsidRPr="00A7643B">
        <w:rPr>
          <w:b/>
          <w:bCs/>
        </w:rPr>
        <w:t>2. Metodología</w:t>
      </w:r>
    </w:p>
    <w:p w14:paraId="2448BDEC" w14:textId="77777777" w:rsidR="00A7643B" w:rsidRPr="00A7643B" w:rsidRDefault="00A7643B" w:rsidP="00A7643B">
      <w:pPr>
        <w:jc w:val="both"/>
      </w:pPr>
      <w:r w:rsidRPr="00A7643B">
        <w:t>Se ha realizado una revisión narrativa de la literatura sobre experiencia del paciente y humanización de la asistencia sanitaria, consultando las bases de datos Google Académico, Scielo y Dialnet, con los términos «humanización de la asistencia sanitaria», «experiencia del paciente», «atención al usuario», «comunicación paciente-profesional» y «servicios de admisión hospitalaria».</w:t>
      </w:r>
    </w:p>
    <w:p w14:paraId="15AACD9F" w14:textId="77777777" w:rsidR="00A7643B" w:rsidRPr="00A7643B" w:rsidRDefault="00A7643B" w:rsidP="00A7643B">
      <w:pPr>
        <w:jc w:val="both"/>
      </w:pPr>
      <w:r w:rsidRPr="00A7643B">
        <w:t>Se han revisado, asimismo, los planes de humanización publicados por distintas comunidades autónomas, entre ellos el Plan de Humanización de la Asistencia Sanitaria de la Comunidad de Madrid y documentos equivalentes de otros servicios autonómicos de salud, así como encuestas de satisfacción y barómetros sanitarios publicados por el Ministerio de Sanidad, en la medida en que incluían ítems relativos a la atención administrativa recibida.</w:t>
      </w:r>
    </w:p>
    <w:p w14:paraId="549EF9CB" w14:textId="77777777" w:rsidR="00A7643B" w:rsidRPr="00A7643B" w:rsidRDefault="00A7643B" w:rsidP="00A7643B">
      <w:pPr>
        <w:jc w:val="both"/>
      </w:pPr>
      <w:r w:rsidRPr="00A7643B">
        <w:t>La información se ha organizado en torno a tres bloques temáticos: (a) el papel del primer contacto administrativo en la experiencia global del paciente; (b) las competencias comunicativas y actitudinales necesarias, con especial atención a colectivos vulnerables; y (c) los principales retos organizativos identificados en la literatura y en los planes de humanización revisados.</w:t>
      </w:r>
    </w:p>
    <w:p w14:paraId="71E1C0F4" w14:textId="77777777" w:rsidR="00A7643B" w:rsidRPr="00A7643B" w:rsidRDefault="00A7643B" w:rsidP="00A7643B">
      <w:pPr>
        <w:jc w:val="both"/>
        <w:rPr>
          <w:b/>
          <w:bCs/>
        </w:rPr>
      </w:pPr>
      <w:r w:rsidRPr="00A7643B">
        <w:rPr>
          <w:b/>
          <w:bCs/>
        </w:rPr>
        <w:t>3. Resultados</w:t>
      </w:r>
    </w:p>
    <w:p w14:paraId="7CB4332B" w14:textId="77777777" w:rsidR="00A7643B" w:rsidRPr="00A7643B" w:rsidRDefault="00A7643B" w:rsidP="00A7643B">
      <w:pPr>
        <w:jc w:val="both"/>
      </w:pPr>
      <w:r w:rsidRPr="00A7643B">
        <w:t>Los principales hallazgos de la revisión se resumen en los siguientes puntos:</w:t>
      </w:r>
    </w:p>
    <w:p w14:paraId="281BF36E" w14:textId="77777777" w:rsidR="00A7643B" w:rsidRPr="00A7643B" w:rsidRDefault="00A7643B" w:rsidP="00A7643B">
      <w:pPr>
        <w:numPr>
          <w:ilvl w:val="0"/>
          <w:numId w:val="4"/>
        </w:numPr>
        <w:jc w:val="both"/>
      </w:pPr>
      <w:r w:rsidRPr="00A7643B">
        <w:lastRenderedPageBreak/>
        <w:t>Efecto del primer contacto: diversos estudios sobre experiencia del paciente señalan que la percepción global de calidad de un centro sanitario se ve significativamente influida por la calidad de la interacción inicial con el personal administrativo, incluso cuando dicha interacción no tiene un componente clínico directo (2,3).</w:t>
      </w:r>
    </w:p>
    <w:p w14:paraId="535691B6" w14:textId="77777777" w:rsidR="00A7643B" w:rsidRPr="00A7643B" w:rsidRDefault="00A7643B" w:rsidP="00A7643B">
      <w:pPr>
        <w:numPr>
          <w:ilvl w:val="0"/>
          <w:numId w:val="4"/>
        </w:numPr>
        <w:jc w:val="both"/>
      </w:pPr>
      <w:r w:rsidRPr="00A7643B">
        <w:t>Competencias comunicativas requeridas: la escucha activa, la empatía, la claridad en la información proporcionada (evitando tecnicismos innecesarios) y la gestión adecuada de situaciones de tensión o queja se identifican de forma recurrente en la literatura como competencias clave del personal de admisión y atención al paciente.</w:t>
      </w:r>
    </w:p>
    <w:p w14:paraId="3B20C949" w14:textId="77777777" w:rsidR="00A7643B" w:rsidRPr="00A7643B" w:rsidRDefault="00A7643B" w:rsidP="00A7643B">
      <w:pPr>
        <w:numPr>
          <w:ilvl w:val="0"/>
          <w:numId w:val="4"/>
        </w:numPr>
        <w:jc w:val="both"/>
      </w:pPr>
      <w:r w:rsidRPr="00A7643B">
        <w:t>Atención a colectivos vulnerables: los planes de humanización revisados prestan especial atención a colectivos como personas mayores, personas con discapacidad, personas con barreras idiomáticas o culturales, y familiares en situaciones de duelo o urgencia, recomendando protocolos específicos de atención (señalética accesible, disponibilidad de mediación cultural o lingüística, espacios de espera adaptados) en los que el personal administrativo tiene un papel de aplicación directa.</w:t>
      </w:r>
    </w:p>
    <w:p w14:paraId="73D6CB03" w14:textId="77777777" w:rsidR="00A7643B" w:rsidRPr="00A7643B" w:rsidRDefault="00A7643B" w:rsidP="00A7643B">
      <w:pPr>
        <w:numPr>
          <w:ilvl w:val="0"/>
          <w:numId w:val="4"/>
        </w:numPr>
        <w:jc w:val="both"/>
      </w:pPr>
      <w:r w:rsidRPr="00A7643B">
        <w:t>Gestión de la espera y de la información: la comunicación proactiva de tiempos de espera, retrasos o incidencias se identifica como un factor determinante de la satisfacción percibida, con independencia de la duración objetiva de la espera, lo que subraya la importancia del papel informativo del auxiliar administrativo más allá de la mera gestión de trámites.</w:t>
      </w:r>
    </w:p>
    <w:p w14:paraId="12371599" w14:textId="77777777" w:rsidR="00A7643B" w:rsidRPr="00A7643B" w:rsidRDefault="00A7643B" w:rsidP="00A7643B">
      <w:pPr>
        <w:numPr>
          <w:ilvl w:val="0"/>
          <w:numId w:val="4"/>
        </w:numPr>
        <w:jc w:val="both"/>
      </w:pPr>
      <w:r w:rsidRPr="00A7643B">
        <w:t>Gestión de primer nivel de quejas y sugerencias: el personal de admisión y atención al paciente actúa con frecuencia como primer receptor de quejas o incidencias, debiendo saber gestionar la situación con empatía y, cuando proceda, derivarla adecuadamente al servicio de atención al paciente y usuario (SAPU o equivalente autonómico) para su tramitación formal.</w:t>
      </w:r>
    </w:p>
    <w:p w14:paraId="66444A73" w14:textId="77777777" w:rsidR="00A7643B" w:rsidRPr="00A7643B" w:rsidRDefault="00A7643B" w:rsidP="00A7643B">
      <w:pPr>
        <w:jc w:val="both"/>
      </w:pPr>
      <w:r w:rsidRPr="00A7643B">
        <w:t>La revisión de los planes de humanización autonómicos muestra que, si bien estos documentos reconocen expresamente el papel del personal administrativo en la experiencia humanizada del paciente, las acciones formativas específicas dirigidas a este colectivo en materia de comunicación y atención a la diversidad son, en general, menos desarrolladas que las dirigidas al personal clínico.</w:t>
      </w:r>
    </w:p>
    <w:p w14:paraId="64E8FCA2" w14:textId="77777777" w:rsidR="00A7643B" w:rsidRPr="00A7643B" w:rsidRDefault="00A7643B" w:rsidP="00A7643B">
      <w:pPr>
        <w:jc w:val="both"/>
        <w:rPr>
          <w:b/>
          <w:bCs/>
        </w:rPr>
      </w:pPr>
      <w:r w:rsidRPr="00A7643B">
        <w:rPr>
          <w:b/>
          <w:bCs/>
        </w:rPr>
        <w:t>4. Discusión</w:t>
      </w:r>
    </w:p>
    <w:p w14:paraId="5930D167" w14:textId="77777777" w:rsidR="00A7643B" w:rsidRPr="00A7643B" w:rsidRDefault="00A7643B" w:rsidP="00A7643B">
      <w:pPr>
        <w:jc w:val="both"/>
      </w:pPr>
      <w:r w:rsidRPr="00A7643B">
        <w:t>Los resultados obtenidos permiten afirmar que la dimensión relacional y comunicativa del trabajo del auxiliar administrativo, aunque menos visible que la dimensión técnica y procedimental, tiene una influencia comprobada sobre la experiencia y satisfacción del paciente, y por tanto sobre indicadores de calidad asistencial cada vez más relevantes en la evaluación de los servicios sanitarios.</w:t>
      </w:r>
    </w:p>
    <w:p w14:paraId="40DE549A" w14:textId="77777777" w:rsidR="00A7643B" w:rsidRPr="00A7643B" w:rsidRDefault="00A7643B" w:rsidP="00A7643B">
      <w:pPr>
        <w:jc w:val="both"/>
      </w:pPr>
      <w:r w:rsidRPr="00A7643B">
        <w:lastRenderedPageBreak/>
        <w:t>Se observa, sin embargo, una asimetría formativa: mientras que las tareas técnicas y procedimentales del auxiliar administrativo (gestión de sistemas de información, tramitación documental) suelen estar bien protocolizadas y son objeto de formación específica, las competencias comunicativas y de atención a la diversidad reciben, en general, menor atención en los programas formativos, a pesar de su relevancia demostrada en la literatura de experiencia del paciente.</w:t>
      </w:r>
    </w:p>
    <w:p w14:paraId="2C607F46" w14:textId="77777777" w:rsidR="00A7643B" w:rsidRPr="00A7643B" w:rsidRDefault="00A7643B" w:rsidP="00A7643B">
      <w:pPr>
        <w:jc w:val="both"/>
      </w:pPr>
      <w:r w:rsidRPr="00A7643B">
        <w:t>Esta asimetría resulta especialmente relevante si se considera que el personal de admisión atiende con frecuencia a colectivos en situación de especial vulnerabilidad (personas mayores, con discapacidad, en procesos de duelo o urgencia), para los que una atención inadecuada puede tener un impacto significativo en su experiencia asistencial, incluso cuando la atención clínica recibida haya sido correcta.</w:t>
      </w:r>
    </w:p>
    <w:p w14:paraId="0CFF666B" w14:textId="77777777" w:rsidR="00A7643B" w:rsidRPr="00A7643B" w:rsidRDefault="00A7643B" w:rsidP="00A7643B">
      <w:pPr>
        <w:jc w:val="both"/>
      </w:pPr>
      <w:r w:rsidRPr="00A7643B">
        <w:t>Se identifica, por tanto, una oportunidad de mejora clara: incorporar de forma sistemática la formación en habilidades de comunicación, gestión emocional y atención a la diversidad en los planes formativos del personal administrativo hospitalario, en línea con los objetivos declarados por los planes de humanización autonómicos.</w:t>
      </w:r>
    </w:p>
    <w:p w14:paraId="3D08BD03" w14:textId="77777777" w:rsidR="00A7643B" w:rsidRPr="00A7643B" w:rsidRDefault="00A7643B" w:rsidP="00A7643B">
      <w:pPr>
        <w:jc w:val="both"/>
        <w:rPr>
          <w:b/>
          <w:bCs/>
        </w:rPr>
      </w:pPr>
      <w:r w:rsidRPr="00A7643B">
        <w:rPr>
          <w:b/>
          <w:bCs/>
        </w:rPr>
        <w:t>5. Conclusiones</w:t>
      </w:r>
    </w:p>
    <w:p w14:paraId="1347E107" w14:textId="77777777" w:rsidR="00A7643B" w:rsidRPr="00A7643B" w:rsidRDefault="00A7643B" w:rsidP="00A7643B">
      <w:pPr>
        <w:jc w:val="both"/>
      </w:pPr>
      <w:r w:rsidRPr="00A7643B">
        <w:t>El auxiliar administrativo de los servicios de admisión y atención al paciente ocupa una posición estratégica en la experiencia de humanización de la asistencia sanitaria, al ser habitualmente el primer y el último punto de contacto administrativo del paciente con el hospital.</w:t>
      </w:r>
    </w:p>
    <w:p w14:paraId="47908137" w14:textId="77777777" w:rsidR="00A7643B" w:rsidRPr="00A7643B" w:rsidRDefault="00A7643B" w:rsidP="00A7643B">
      <w:pPr>
        <w:jc w:val="both"/>
      </w:pPr>
      <w:r w:rsidRPr="00A7643B">
        <w:t>Las competencias comunicativas y actitudinales de este perfil profesional —escucha activa, empatía, gestión de la información y de la espera, atención a colectivos vulnerables— tienen una influencia comprobada sobre la satisfacción y la experiencia percibida del paciente, con independencia de la calidad técnica de la atención clínica recibida.</w:t>
      </w:r>
    </w:p>
    <w:p w14:paraId="0DB9F340" w14:textId="77777777" w:rsidR="00A7643B" w:rsidRPr="00A7643B" w:rsidRDefault="00A7643B" w:rsidP="00A7643B">
      <w:pPr>
        <w:jc w:val="both"/>
      </w:pPr>
      <w:r w:rsidRPr="00A7643B">
        <w:t>Se recomienda reforzar la formación específica en habilidades de comunicación y atención a la diversidad dentro de los programas formativos de este colectivo profesional, como vía para alinear la práctica diaria con los objetivos declarados por los planes de humanización de la asistencia sanitaria vigentes en las distintas comunidades autónomas.</w:t>
      </w:r>
    </w:p>
    <w:p w14:paraId="31B590AE" w14:textId="77777777" w:rsidR="00A7643B" w:rsidRPr="00A7643B" w:rsidRDefault="00A7643B" w:rsidP="00A7643B">
      <w:pPr>
        <w:jc w:val="both"/>
        <w:rPr>
          <w:b/>
          <w:bCs/>
        </w:rPr>
      </w:pPr>
      <w:r w:rsidRPr="00A7643B">
        <w:rPr>
          <w:b/>
          <w:bCs/>
        </w:rPr>
        <w:t>Bibliografía</w:t>
      </w:r>
    </w:p>
    <w:p w14:paraId="1D7C200E" w14:textId="77777777" w:rsidR="00A7643B" w:rsidRPr="00A7643B" w:rsidRDefault="00A7643B" w:rsidP="00A7643B">
      <w:pPr>
        <w:jc w:val="both"/>
      </w:pPr>
      <w:r w:rsidRPr="00A7643B">
        <w:rPr>
          <w:i/>
          <w:iCs/>
        </w:rPr>
        <w:t>Referencias citadas según normas de Vancouver, por orden de aparición en el texto:</w:t>
      </w:r>
    </w:p>
    <w:p w14:paraId="3DE67F72" w14:textId="77777777" w:rsidR="00A7643B" w:rsidRPr="00A7643B" w:rsidRDefault="00A7643B" w:rsidP="00A7643B">
      <w:pPr>
        <w:jc w:val="both"/>
      </w:pPr>
      <w:r w:rsidRPr="00A7643B">
        <w:t>1. Consejería de Sanidad (Comunidad de Madrid). Plan de Humanización de la Asistencia Sanitaria 2016-2019. Madrid: Servicio Madrileño de Salud; 2016.</w:t>
      </w:r>
    </w:p>
    <w:p w14:paraId="4EB40165" w14:textId="77777777" w:rsidR="00A7643B" w:rsidRPr="00A7643B" w:rsidRDefault="00A7643B" w:rsidP="00A7643B">
      <w:pPr>
        <w:jc w:val="both"/>
      </w:pPr>
      <w:r w:rsidRPr="00A7643B">
        <w:lastRenderedPageBreak/>
        <w:t>2. Ministerio de Sanidad. Barómetro Sanitario. Madrid: Ministerio de Sanidad; 2024.</w:t>
      </w:r>
    </w:p>
    <w:p w14:paraId="6AA65662" w14:textId="77777777" w:rsidR="00A7643B" w:rsidRPr="00A7643B" w:rsidRDefault="00A7643B" w:rsidP="00A7643B">
      <w:pPr>
        <w:jc w:val="both"/>
      </w:pPr>
      <w:r w:rsidRPr="00A7643B">
        <w:t xml:space="preserve">3. Bautista Rentero D, González Cerezo E. Experiencia del paciente y humanización de la asistencia sanitaria: una revisión de la literatura. Rev Calid </w:t>
      </w:r>
      <w:proofErr w:type="spellStart"/>
      <w:r w:rsidRPr="00A7643B">
        <w:t>Asist</w:t>
      </w:r>
      <w:proofErr w:type="spellEnd"/>
      <w:r w:rsidRPr="00A7643B">
        <w:t>. 2020;35(1):23-31.</w:t>
      </w:r>
    </w:p>
    <w:p w14:paraId="0A4CCD83" w14:textId="77777777" w:rsidR="00A7643B" w:rsidRPr="00A7643B" w:rsidRDefault="00A7643B" w:rsidP="00A7643B">
      <w:pPr>
        <w:jc w:val="both"/>
      </w:pPr>
      <w:r w:rsidRPr="00A7643B">
        <w:t xml:space="preserve">4. España. Ley 41/2002, de 14 de noviembre, básica reguladora de la autonomía del paciente y de derechos y obligaciones en materia de información y documentación clínica. Boletín Oficial del Estado, </w:t>
      </w:r>
      <w:proofErr w:type="spellStart"/>
      <w:r w:rsidRPr="00A7643B">
        <w:t>nº</w:t>
      </w:r>
      <w:proofErr w:type="spellEnd"/>
      <w:r w:rsidRPr="00A7643B">
        <w:t xml:space="preserve"> 274, de 15 de noviembre de 2002.</w:t>
      </w:r>
    </w:p>
    <w:p w14:paraId="3F74E13F" w14:textId="77777777" w:rsidR="00A7643B" w:rsidRPr="00A7643B" w:rsidRDefault="00A7643B" w:rsidP="00A7643B">
      <w:pPr>
        <w:jc w:val="both"/>
      </w:pPr>
      <w:r w:rsidRPr="00A7643B">
        <w:t>5. Sociedad Española de Atención al Usuario de la Sanidad (SEAUS). Recomendaciones para la mejora de la atención al usuario en centros sanitarios. Madrid: SEAUS; 2019.</w:t>
      </w:r>
    </w:p>
    <w:p w14:paraId="2C6BCDA4" w14:textId="77777777" w:rsidR="00A7643B" w:rsidRDefault="00A7643B" w:rsidP="00A7643B">
      <w:pPr>
        <w:jc w:val="both"/>
      </w:pPr>
    </w:p>
    <w:p w14:paraId="1210904C" w14:textId="77777777" w:rsidR="005E0144" w:rsidRDefault="005E0144" w:rsidP="00A7643B">
      <w:pPr>
        <w:jc w:val="both"/>
      </w:pPr>
    </w:p>
    <w:p w14:paraId="6149149E" w14:textId="77777777" w:rsidR="005E0144" w:rsidRDefault="005E0144" w:rsidP="00A7643B">
      <w:pPr>
        <w:jc w:val="both"/>
      </w:pPr>
    </w:p>
    <w:p w14:paraId="277AFE76" w14:textId="77777777" w:rsidR="005E0144" w:rsidRDefault="005E0144" w:rsidP="00A7643B">
      <w:pPr>
        <w:jc w:val="both"/>
      </w:pPr>
    </w:p>
    <w:p w14:paraId="491A0EDF" w14:textId="77777777" w:rsidR="005E0144" w:rsidRDefault="005E0144" w:rsidP="00A7643B">
      <w:pPr>
        <w:jc w:val="both"/>
      </w:pPr>
    </w:p>
    <w:p w14:paraId="6B721F4A" w14:textId="77777777" w:rsidR="005E0144" w:rsidRDefault="005E0144" w:rsidP="00A7643B">
      <w:pPr>
        <w:jc w:val="both"/>
      </w:pPr>
    </w:p>
    <w:p w14:paraId="42988842" w14:textId="77777777" w:rsidR="005E0144" w:rsidRDefault="005E0144" w:rsidP="00A7643B">
      <w:pPr>
        <w:jc w:val="both"/>
      </w:pPr>
    </w:p>
    <w:p w14:paraId="2EAACB7D" w14:textId="77777777" w:rsidR="005E0144" w:rsidRDefault="005E0144" w:rsidP="00A7643B">
      <w:pPr>
        <w:jc w:val="both"/>
      </w:pPr>
    </w:p>
    <w:p w14:paraId="56ABACAA" w14:textId="77777777" w:rsidR="005E0144" w:rsidRDefault="005E0144" w:rsidP="00A7643B">
      <w:pPr>
        <w:jc w:val="both"/>
      </w:pPr>
    </w:p>
    <w:p w14:paraId="45DA8141" w14:textId="77777777" w:rsidR="005E0144" w:rsidRDefault="005E0144" w:rsidP="00A7643B">
      <w:pPr>
        <w:jc w:val="both"/>
      </w:pPr>
    </w:p>
    <w:p w14:paraId="381E7A11" w14:textId="77777777" w:rsidR="005E0144" w:rsidRDefault="005E0144" w:rsidP="00A7643B">
      <w:pPr>
        <w:jc w:val="both"/>
      </w:pPr>
    </w:p>
    <w:p w14:paraId="50673080" w14:textId="77777777" w:rsidR="005E0144" w:rsidRDefault="005E0144" w:rsidP="00A7643B">
      <w:pPr>
        <w:jc w:val="both"/>
      </w:pPr>
    </w:p>
    <w:p w14:paraId="595E10E0" w14:textId="77777777" w:rsidR="005E0144" w:rsidRDefault="005E0144" w:rsidP="00A7643B">
      <w:pPr>
        <w:jc w:val="both"/>
      </w:pPr>
    </w:p>
    <w:p w14:paraId="6DDFE33C" w14:textId="77777777" w:rsidR="005E0144" w:rsidRDefault="005E0144" w:rsidP="00A7643B">
      <w:pPr>
        <w:jc w:val="both"/>
      </w:pPr>
    </w:p>
    <w:p w14:paraId="1D9AC6BD" w14:textId="77777777" w:rsidR="005E0144" w:rsidRDefault="005E0144" w:rsidP="00A7643B">
      <w:pPr>
        <w:jc w:val="both"/>
      </w:pPr>
    </w:p>
    <w:p w14:paraId="4E98FCFA" w14:textId="77777777" w:rsidR="005E0144" w:rsidRDefault="005E0144" w:rsidP="00A7643B">
      <w:pPr>
        <w:jc w:val="both"/>
      </w:pPr>
    </w:p>
    <w:p w14:paraId="23990CFD" w14:textId="77777777" w:rsidR="005E0144" w:rsidRDefault="005E0144" w:rsidP="00A7643B">
      <w:pPr>
        <w:jc w:val="both"/>
      </w:pPr>
    </w:p>
    <w:p w14:paraId="64ECFB79" w14:textId="77777777" w:rsidR="005E0144" w:rsidRDefault="005E0144" w:rsidP="00A7643B">
      <w:pPr>
        <w:jc w:val="both"/>
      </w:pPr>
    </w:p>
    <w:p w14:paraId="072E445D" w14:textId="77777777" w:rsidR="005E0144" w:rsidRDefault="005E0144" w:rsidP="00A7643B">
      <w:pPr>
        <w:jc w:val="both"/>
      </w:pPr>
    </w:p>
    <w:p w14:paraId="6E63C3AF" w14:textId="77777777" w:rsidR="005E0144" w:rsidRDefault="005E0144" w:rsidP="00A7643B">
      <w:pPr>
        <w:jc w:val="both"/>
      </w:pPr>
    </w:p>
    <w:p w14:paraId="252922E4" w14:textId="77777777" w:rsidR="005E0144" w:rsidRPr="005E0144" w:rsidRDefault="005E0144" w:rsidP="005E0144">
      <w:pPr>
        <w:jc w:val="both"/>
      </w:pPr>
      <w:r w:rsidRPr="005E0144">
        <w:rPr>
          <w:b/>
          <w:bCs/>
        </w:rPr>
        <w:lastRenderedPageBreak/>
        <w:t>La transformación digital de la gestión administrativa hospitalaria: de la historia clínica en papel a la historia clínica digital interoperable</w:t>
      </w:r>
    </w:p>
    <w:p w14:paraId="597BB9E1" w14:textId="77777777" w:rsidR="005E0144" w:rsidRPr="005E0144" w:rsidRDefault="005E0144" w:rsidP="005E0144">
      <w:pPr>
        <w:jc w:val="both"/>
        <w:rPr>
          <w:b/>
          <w:bCs/>
        </w:rPr>
      </w:pPr>
      <w:r w:rsidRPr="005E0144">
        <w:rPr>
          <w:b/>
          <w:bCs/>
        </w:rPr>
        <w:t>Resumen</w:t>
      </w:r>
    </w:p>
    <w:p w14:paraId="7A96C201" w14:textId="77777777" w:rsidR="005E0144" w:rsidRPr="005E0144" w:rsidRDefault="005E0144" w:rsidP="005E0144">
      <w:pPr>
        <w:jc w:val="both"/>
      </w:pPr>
      <w:r w:rsidRPr="005E0144">
        <w:t>La digitalización de la historia clínica y de los procesos de gestión administrativa constituye una de las transformaciones más profundas experimentadas por el Sistema Nacional de Salud en las últimas dos décadas, y se encuentra en un momento de particular impulso a raíz del desarrollo de la Historia Clínica Digital del Sistema Nacional de Salud (HCDSNS) y del nuevo marco regulatorio europeo del Espacio Europeo de Datos Sanitarios (Reglamento (UE) 2025/327). Este trabajo revisa, a partir de fuentes institucionales y normativas, el proceso de transformación digital de la gestión administrativa hospitalaria, sus beneficios en términos de continuidad asistencial e interoperabilidad, y su impacto sobre las competencias exigidas al auxiliar administrativo. Los resultados muestran que la digitalización ha modificado sustancialmente el perfil competencial de este colectivo profesional, exigiendo nuevas habilidades digitales, y plantea retos pendientes en materia de heterogeneidad entre sistemas autonómicos, brecha digital de determinados colectivos de pacientes y ciberseguridad.</w:t>
      </w:r>
    </w:p>
    <w:p w14:paraId="049D9555" w14:textId="77777777" w:rsidR="005E0144" w:rsidRPr="005E0144" w:rsidRDefault="005E0144" w:rsidP="005E0144">
      <w:pPr>
        <w:jc w:val="both"/>
      </w:pPr>
      <w:r w:rsidRPr="005E0144">
        <w:rPr>
          <w:b/>
          <w:bCs/>
        </w:rPr>
        <w:t xml:space="preserve">Palabras clave: </w:t>
      </w:r>
      <w:r w:rsidRPr="005E0144">
        <w:rPr>
          <w:i/>
          <w:iCs/>
        </w:rPr>
        <w:t>Transformación digital; Historia clínica electrónica; Interoperabilidad; Salud digital; Espacio Europeo de Datos Sanitarios.</w:t>
      </w:r>
    </w:p>
    <w:p w14:paraId="2C767FD3" w14:textId="77777777" w:rsidR="005E0144" w:rsidRPr="005E0144" w:rsidRDefault="005E0144" w:rsidP="005E0144">
      <w:pPr>
        <w:jc w:val="both"/>
        <w:rPr>
          <w:b/>
          <w:bCs/>
          <w:lang w:val="en-GB"/>
        </w:rPr>
      </w:pPr>
      <w:r w:rsidRPr="005E0144">
        <w:rPr>
          <w:b/>
          <w:bCs/>
          <w:lang w:val="en-GB"/>
        </w:rPr>
        <w:t>Abstract</w:t>
      </w:r>
    </w:p>
    <w:p w14:paraId="59127FFE" w14:textId="77777777" w:rsidR="005E0144" w:rsidRPr="005E0144" w:rsidRDefault="005E0144" w:rsidP="005E0144">
      <w:pPr>
        <w:jc w:val="both"/>
        <w:rPr>
          <w:lang w:val="en-GB"/>
        </w:rPr>
      </w:pPr>
      <w:r w:rsidRPr="005E0144">
        <w:rPr>
          <w:lang w:val="en-GB"/>
        </w:rPr>
        <w:t xml:space="preserve">The digitisation of clinical records and administrative management processes constitutes one of the most profound transformations experienced by the Spanish National Health System over the last two decades, currently gaining particular momentum through the development of the National Digital Clinical Record (HCDSNS) and the new European regulatory framework of the European Health Data Space (Regulation (EU) 2025/327). This paper reviews, based on institutional and regulatory sources, the digital transformation process of hospital administrative management, its benefits in terms of continuity of care and interoperability, and its impact on the competencies required of administrative assistants. Results show that digitisation has substantially modified the competency profile of this professional group, </w:t>
      </w:r>
      <w:proofErr w:type="gramStart"/>
      <w:r w:rsidRPr="005E0144">
        <w:rPr>
          <w:lang w:val="en-GB"/>
        </w:rPr>
        <w:t>demanding</w:t>
      </w:r>
      <w:proofErr w:type="gramEnd"/>
      <w:r w:rsidRPr="005E0144">
        <w:rPr>
          <w:lang w:val="en-GB"/>
        </w:rPr>
        <w:t xml:space="preserve"> new digital skills, and raises pending challenges regarding heterogeneity between regional systems, digital divide among certain patient groups, and cybersecurity.</w:t>
      </w:r>
    </w:p>
    <w:p w14:paraId="35C511E9" w14:textId="77777777" w:rsidR="005E0144" w:rsidRPr="005E0144" w:rsidRDefault="005E0144" w:rsidP="005E0144">
      <w:pPr>
        <w:jc w:val="both"/>
        <w:rPr>
          <w:lang w:val="en-GB"/>
        </w:rPr>
      </w:pPr>
      <w:r w:rsidRPr="005E0144">
        <w:rPr>
          <w:b/>
          <w:bCs/>
          <w:lang w:val="en-GB"/>
        </w:rPr>
        <w:t xml:space="preserve">Keywords: </w:t>
      </w:r>
      <w:r w:rsidRPr="005E0144">
        <w:rPr>
          <w:i/>
          <w:iCs/>
          <w:lang w:val="en-GB"/>
        </w:rPr>
        <w:t>Digital transformation; Electronic health record; Interoperability; Digital health; European Health Data Space.</w:t>
      </w:r>
    </w:p>
    <w:p w14:paraId="644CDAEE" w14:textId="77777777" w:rsidR="005E0144" w:rsidRPr="005E0144" w:rsidRDefault="005E0144" w:rsidP="005E0144">
      <w:pPr>
        <w:jc w:val="both"/>
        <w:rPr>
          <w:b/>
          <w:bCs/>
        </w:rPr>
      </w:pPr>
      <w:r w:rsidRPr="005E0144">
        <w:rPr>
          <w:b/>
          <w:bCs/>
        </w:rPr>
        <w:t>1. Introducción</w:t>
      </w:r>
    </w:p>
    <w:p w14:paraId="7377BAA5" w14:textId="77777777" w:rsidR="005E0144" w:rsidRPr="005E0144" w:rsidRDefault="005E0144" w:rsidP="005E0144">
      <w:pPr>
        <w:jc w:val="both"/>
      </w:pPr>
      <w:r w:rsidRPr="005E0144">
        <w:lastRenderedPageBreak/>
        <w:t>El Sistema Nacional de Salud español ha experimentado, desde comienzos de la década de 2000, un proceso progresivo de digitalización de la historia clínica y de los procesos de gestión administrativa asociados, que ha culminado en el desarrollo de la Historia Clínica Digital del Sistema Nacional de Salud (HCDSNS), plataforma que permite a los profesionales sanitarios de las distintas comunidades autónomas compartir de forma segura la información clínica esencial de un paciente con independencia del lugar de España en el que haya sido generada (1).</w:t>
      </w:r>
    </w:p>
    <w:p w14:paraId="53403225" w14:textId="77777777" w:rsidR="005E0144" w:rsidRPr="005E0144" w:rsidRDefault="005E0144" w:rsidP="005E0144">
      <w:pPr>
        <w:jc w:val="both"/>
      </w:pPr>
      <w:r w:rsidRPr="005E0144">
        <w:t>Este proceso se encuentra actualmente en una nueva fase de impulso a raíz de dos desarrollos normativos de gran calado: por un lado, la entrada en vigor del Reglamento (UE) 2025/327, relativo al Espacio Europeo de Datos Sanitarios (</w:t>
      </w:r>
      <w:proofErr w:type="spellStart"/>
      <w:r w:rsidRPr="005E0144">
        <w:t>European</w:t>
      </w:r>
      <w:proofErr w:type="spellEnd"/>
      <w:r w:rsidRPr="005E0144">
        <w:t xml:space="preserve"> Health Data Space, EHDS), que persigue garantizar la interoperabilidad de los datos de salud en el conjunto de la Unión Europea, tanto para uso asistencial directo (a través, entre otros instrumentos, del Resumen del Paciente Europeo o EUPS) como para fines secundarios de investigación y planificación sanitaria; y, por otro, el impulso en España de un Anteproyecto de Ley de Salud Digital, actualmente en fase de consulta pública, que pretende adaptar el marco jurídico español a este nuevo escenario (2,3).</w:t>
      </w:r>
    </w:p>
    <w:p w14:paraId="60D085FD" w14:textId="77777777" w:rsidR="005E0144" w:rsidRPr="005E0144" w:rsidRDefault="005E0144" w:rsidP="005E0144">
      <w:pPr>
        <w:jc w:val="both"/>
      </w:pPr>
      <w:r w:rsidRPr="005E0144">
        <w:t>Esta transformación tiene una incidencia directa sobre el perfil competencial del auxiliar administrativo hospitalario, cuyas funciones tradicionales de gestión documental y de citación se ven modificadas por la incorporación de nuevas herramientas digitales. El objetivo de este trabajo es analizar, a partir de una revisión de fuentes institucionales y normativas, el proceso de transformación digital de la gestión administrativa hospitalaria, sus beneficios y retos, y su impacto sobre las competencias exigidas a este perfil profesional.</w:t>
      </w:r>
    </w:p>
    <w:p w14:paraId="3AB11EDD" w14:textId="77777777" w:rsidR="005E0144" w:rsidRPr="005E0144" w:rsidRDefault="005E0144" w:rsidP="005E0144">
      <w:pPr>
        <w:jc w:val="both"/>
        <w:rPr>
          <w:b/>
          <w:bCs/>
        </w:rPr>
      </w:pPr>
      <w:r w:rsidRPr="005E0144">
        <w:rPr>
          <w:b/>
          <w:bCs/>
        </w:rPr>
        <w:t>2. Metodología</w:t>
      </w:r>
    </w:p>
    <w:p w14:paraId="37F9E9F7" w14:textId="77777777" w:rsidR="005E0144" w:rsidRPr="005E0144" w:rsidRDefault="005E0144" w:rsidP="005E0144">
      <w:pPr>
        <w:jc w:val="both"/>
      </w:pPr>
      <w:r w:rsidRPr="005E0144">
        <w:t>Se ha realizado una revisión documental de fuentes institucionales, priorizando la información publicada por el Ministerio de Sanidad a través de su área de Salud Digital y del portal de la Historia Clínica Digital del Sistema Nacional de Salud, así como el texto del Reglamento (UE) 2025/327 sobre el Espacio Europeo de Datos Sanitarios y la documentación pública disponible sobre el Anteproyecto de Ley de Salud Digital español.</w:t>
      </w:r>
    </w:p>
    <w:p w14:paraId="09916EDE" w14:textId="77777777" w:rsidR="005E0144" w:rsidRPr="005E0144" w:rsidRDefault="005E0144" w:rsidP="005E0144">
      <w:pPr>
        <w:jc w:val="both"/>
      </w:pPr>
      <w:r w:rsidRPr="005E0144">
        <w:t>Se ha complementado esta revisión institucional con literatura técnica sobre transformación digital en salud disponible en Scielo y Dialnet, empleando los términos «historia clínica electrónica», «interoperabilidad sanitaria», «salud digital», «transformación digital hospitalaria» y «Espacio Europeo de Datos Sanitarios».</w:t>
      </w:r>
    </w:p>
    <w:p w14:paraId="2B56EEBA" w14:textId="77777777" w:rsidR="005E0144" w:rsidRPr="005E0144" w:rsidRDefault="005E0144" w:rsidP="005E0144">
      <w:pPr>
        <w:jc w:val="both"/>
      </w:pPr>
      <w:r w:rsidRPr="005E0144">
        <w:t xml:space="preserve">El análisis se ha estructurado en torno a tres ejes: (a) la evolución de la historia clínica en papel hacia la historia clínica digital e interoperable en España; (b) el </w:t>
      </w:r>
      <w:r w:rsidRPr="005E0144">
        <w:lastRenderedPageBreak/>
        <w:t>nuevo marco regulatorio europeo y su previsible impacto; y (c) las implicaciones de este proceso para las competencias del auxiliar administrativo hospitalario.</w:t>
      </w:r>
    </w:p>
    <w:p w14:paraId="41111243" w14:textId="77777777" w:rsidR="005E0144" w:rsidRPr="005E0144" w:rsidRDefault="005E0144" w:rsidP="005E0144">
      <w:pPr>
        <w:jc w:val="both"/>
        <w:rPr>
          <w:b/>
          <w:bCs/>
        </w:rPr>
      </w:pPr>
      <w:r w:rsidRPr="005E0144">
        <w:rPr>
          <w:b/>
          <w:bCs/>
        </w:rPr>
        <w:t>3. Resultados</w:t>
      </w:r>
    </w:p>
    <w:p w14:paraId="46F67320" w14:textId="77777777" w:rsidR="005E0144" w:rsidRPr="005E0144" w:rsidRDefault="005E0144" w:rsidP="005E0144">
      <w:pPr>
        <w:jc w:val="both"/>
      </w:pPr>
      <w:r w:rsidRPr="005E0144">
        <w:t>El análisis de las fuentes revisadas permite identificar los siguientes resultados principales:</w:t>
      </w:r>
    </w:p>
    <w:p w14:paraId="77AB63D8" w14:textId="77777777" w:rsidR="005E0144" w:rsidRPr="005E0144" w:rsidRDefault="005E0144" w:rsidP="005E0144">
      <w:pPr>
        <w:numPr>
          <w:ilvl w:val="0"/>
          <w:numId w:val="5"/>
        </w:numPr>
        <w:jc w:val="both"/>
      </w:pPr>
      <w:r w:rsidRPr="005E0144">
        <w:t>Evolución hacia la HCDSNS: la Historia Clínica Digital del Sistema Nacional de Salud constituye actualmente el marco de referencia para la interoperabilidad entre comunidades autónomas en España, correspondiendo a cada servicio autonómico de salud la implantación de los requisitos técnicos y funcionales necesarios, mientras que el Ministerio de Sanidad ejerce funciones de coordinación (1).</w:t>
      </w:r>
    </w:p>
    <w:p w14:paraId="052251C7" w14:textId="77777777" w:rsidR="005E0144" w:rsidRPr="005E0144" w:rsidRDefault="005E0144" w:rsidP="005E0144">
      <w:pPr>
        <w:numPr>
          <w:ilvl w:val="0"/>
          <w:numId w:val="5"/>
        </w:numPr>
        <w:jc w:val="both"/>
      </w:pPr>
      <w:r w:rsidRPr="005E0144">
        <w:t>Interoperabilidad europea: a través del desarrollo del Resumen del Paciente Europeo (EUPS) y del nuevo Reglamento del Espacio Europeo de Datos Sanitarios, se avanza hacia un escenario en el que un paciente podrá ver reconocida su información clínica esencial en cualquier país de la Unión Europea, lo que representa un salto cualitativo respecto de la interoperabilidad meramente nacional (2).</w:t>
      </w:r>
    </w:p>
    <w:p w14:paraId="10A7FFF6" w14:textId="77777777" w:rsidR="005E0144" w:rsidRPr="005E0144" w:rsidRDefault="005E0144" w:rsidP="005E0144">
      <w:pPr>
        <w:numPr>
          <w:ilvl w:val="0"/>
          <w:numId w:val="5"/>
        </w:numPr>
        <w:jc w:val="both"/>
      </w:pPr>
      <w:r w:rsidRPr="005E0144">
        <w:t>Nuevas competencias digitales exigidas: la digitalización de los procesos de citación, admisión, gestión de camas y archivo exige del auxiliar administrativo competencias de manejo de sistemas de información hospitalaria (HIS), plataformas de cita telemática, sistemas de identificación electrónica del paciente y, en un número creciente de centros, herramientas de comunicación digital con el paciente (aplicaciones móviles, portales del paciente).</w:t>
      </w:r>
    </w:p>
    <w:p w14:paraId="18132A7B" w14:textId="77777777" w:rsidR="005E0144" w:rsidRPr="005E0144" w:rsidRDefault="005E0144" w:rsidP="005E0144">
      <w:pPr>
        <w:numPr>
          <w:ilvl w:val="0"/>
          <w:numId w:val="5"/>
        </w:numPr>
        <w:jc w:val="both"/>
      </w:pPr>
      <w:r w:rsidRPr="005E0144">
        <w:t>Beneficios identificados: reducción de errores de transcripción y de identificación asociados al soporte papel, mayor rapidez de acceso a la información clínica relevante en la toma de decisiones administrativas (por ejemplo, verificación de antecedentes de contacto con el sistema sanitario), y mejora de la continuidad asistencial entre niveles y territorios.</w:t>
      </w:r>
    </w:p>
    <w:p w14:paraId="3251674F" w14:textId="77777777" w:rsidR="005E0144" w:rsidRPr="005E0144" w:rsidRDefault="005E0144" w:rsidP="005E0144">
      <w:pPr>
        <w:numPr>
          <w:ilvl w:val="0"/>
          <w:numId w:val="5"/>
        </w:numPr>
        <w:jc w:val="both"/>
      </w:pPr>
      <w:r w:rsidRPr="005E0144">
        <w:t>Retos pendientes: heterogeneidad tecnológica entre los sistemas de información de las distintas comunidades autónomas, que dificulta en la práctica una interoperabilidad plena; brecha digital de determinados colectivos de pacientes (personas mayores, con menor alfabetización digital) que requiere mantener canales de atención presencial y en soporte no digital; y exigencias crecientes de ciberseguridad ante el aumento de la superficie de exposición de la información clínica digitalizada.</w:t>
      </w:r>
    </w:p>
    <w:p w14:paraId="77F50522" w14:textId="77777777" w:rsidR="005E0144" w:rsidRPr="005E0144" w:rsidRDefault="005E0144" w:rsidP="005E0144">
      <w:pPr>
        <w:jc w:val="both"/>
        <w:rPr>
          <w:b/>
          <w:bCs/>
        </w:rPr>
      </w:pPr>
      <w:r w:rsidRPr="005E0144">
        <w:rPr>
          <w:b/>
          <w:bCs/>
        </w:rPr>
        <w:t>4. Discusión</w:t>
      </w:r>
    </w:p>
    <w:p w14:paraId="0DD2D57A" w14:textId="77777777" w:rsidR="005E0144" w:rsidRPr="005E0144" w:rsidRDefault="005E0144" w:rsidP="005E0144">
      <w:pPr>
        <w:jc w:val="both"/>
      </w:pPr>
      <w:r w:rsidRPr="005E0144">
        <w:lastRenderedPageBreak/>
        <w:t>Los resultados de esta revisión muestran que la transformación digital de la gestión administrativa hospitalaria no debe entenderse como un proceso meramente tecnológico, sino como una transformación organizativa profunda que afecta directamente al contenido del trabajo del auxiliar administrativo, desplazando el centro de gravedad de sus funciones desde la gestión documental en soporte papel hacia la gestión de información en sistemas digitales interoperables.</w:t>
      </w:r>
    </w:p>
    <w:p w14:paraId="6C5460FD" w14:textId="77777777" w:rsidR="005E0144" w:rsidRPr="005E0144" w:rsidRDefault="005E0144" w:rsidP="005E0144">
      <w:pPr>
        <w:jc w:val="both"/>
      </w:pPr>
      <w:r w:rsidRPr="005E0144">
        <w:t>Este desplazamiento competencial exige, como se ha señalado también en otras publicaciones de esta serie relativas a la formación de este colectivo profesional, un esfuerzo formativo continuado que permita al personal administrativo adaptarse a la evolución de las herramientas digitales sin perder de vista las competencias comunicativas y de atención al usuario que siguen siendo esenciales, especialmente para atender a los colectivos de pacientes con mayor dificultad de acceso a los medios digitales.</w:t>
      </w:r>
    </w:p>
    <w:p w14:paraId="7C19C889" w14:textId="77777777" w:rsidR="005E0144" w:rsidRPr="005E0144" w:rsidRDefault="005E0144" w:rsidP="005E0144">
      <w:pPr>
        <w:jc w:val="both"/>
      </w:pPr>
      <w:r w:rsidRPr="005E0144">
        <w:t>El desarrollo del Espacio Europeo de Datos Sanitarios y de la futura Ley de Salud Digital española anticipan, además, un incremento de las exigencias regulatorias en materia de interoperabilidad, calidad del dato y protección de datos (esta última analizada con mayor detalle en otra de las publicaciones de esta serie), lo que reforzará en los próximos años la necesidad de una actualización formativa constante del personal administrativo hospitalario.</w:t>
      </w:r>
    </w:p>
    <w:p w14:paraId="042F2F14" w14:textId="77777777" w:rsidR="005E0144" w:rsidRPr="005E0144" w:rsidRDefault="005E0144" w:rsidP="005E0144">
      <w:pPr>
        <w:jc w:val="both"/>
      </w:pPr>
      <w:r w:rsidRPr="005E0144">
        <w:t>Por último, se identifica como reto relevante la necesidad de garantizar que el proceso de digitalización no derive en una menor calidad de la atención a los pacientes con mayor brecha digital, lo que exige mantener, junto al desarrollo de nuevos canales digitales, la disponibilidad de una atención presencial de calidad, en la que el auxiliar administrativo sigue desempeñando un papel insustituible.</w:t>
      </w:r>
    </w:p>
    <w:p w14:paraId="212DB6C2" w14:textId="77777777" w:rsidR="005E0144" w:rsidRPr="005E0144" w:rsidRDefault="005E0144" w:rsidP="005E0144">
      <w:pPr>
        <w:jc w:val="both"/>
        <w:rPr>
          <w:b/>
          <w:bCs/>
        </w:rPr>
      </w:pPr>
      <w:r w:rsidRPr="005E0144">
        <w:rPr>
          <w:b/>
          <w:bCs/>
        </w:rPr>
        <w:t>5. Conclusiones</w:t>
      </w:r>
    </w:p>
    <w:p w14:paraId="71C8F58F" w14:textId="77777777" w:rsidR="005E0144" w:rsidRPr="005E0144" w:rsidRDefault="005E0144" w:rsidP="005E0144">
      <w:pPr>
        <w:jc w:val="both"/>
      </w:pPr>
      <w:r w:rsidRPr="005E0144">
        <w:t>La transformación digital de la historia clínica y de la gestión administrativa hospitalaria, impulsada tanto a nivel nacional (HCDSNS) como europeo (Espacio Europeo de Datos Sanitarios), constituye un proceso de gran calado que está modificando de forma sustancial el contenido competencial del trabajo del auxiliar administrativo.</w:t>
      </w:r>
    </w:p>
    <w:p w14:paraId="45815AEC" w14:textId="77777777" w:rsidR="005E0144" w:rsidRPr="005E0144" w:rsidRDefault="005E0144" w:rsidP="005E0144">
      <w:pPr>
        <w:jc w:val="both"/>
      </w:pPr>
      <w:r w:rsidRPr="005E0144">
        <w:t>Los beneficios de este proceso en términos de continuidad asistencial, reducción de errores e interoperabilidad son significativos, pero coexisten con retos relevantes en materia de heterogeneidad tecnológica entre territorios, brecha digital de determinados colectivos de pacientes y ciberseguridad.</w:t>
      </w:r>
    </w:p>
    <w:p w14:paraId="0E89DFD6" w14:textId="77777777" w:rsidR="005E0144" w:rsidRPr="005E0144" w:rsidRDefault="005E0144" w:rsidP="005E0144">
      <w:pPr>
        <w:jc w:val="both"/>
      </w:pPr>
      <w:r w:rsidRPr="005E0144">
        <w:t xml:space="preserve">Se recomienda que la formación del auxiliar administrativo hospitalario incorpore de forma sistemática competencias digitales actualizadas, sin descuidar las competencias comunicativas y de atención presencial que continúan siendo </w:t>
      </w:r>
      <w:r w:rsidRPr="005E0144">
        <w:lastRenderedPageBreak/>
        <w:t>imprescindibles para garantizar una atención de calidad a toda la población, incluidos los colectivos con mayor dificultad de acceso a los medios digitales.</w:t>
      </w:r>
    </w:p>
    <w:p w14:paraId="5A5CCEE3" w14:textId="77777777" w:rsidR="005E0144" w:rsidRPr="005E0144" w:rsidRDefault="005E0144" w:rsidP="005E0144">
      <w:pPr>
        <w:jc w:val="both"/>
        <w:rPr>
          <w:b/>
          <w:bCs/>
        </w:rPr>
      </w:pPr>
      <w:r w:rsidRPr="005E0144">
        <w:rPr>
          <w:b/>
          <w:bCs/>
        </w:rPr>
        <w:t>Bibliografía</w:t>
      </w:r>
    </w:p>
    <w:p w14:paraId="3579B282" w14:textId="77777777" w:rsidR="005E0144" w:rsidRPr="005E0144" w:rsidRDefault="005E0144" w:rsidP="005E0144">
      <w:pPr>
        <w:jc w:val="both"/>
      </w:pPr>
      <w:r w:rsidRPr="005E0144">
        <w:rPr>
          <w:i/>
          <w:iCs/>
        </w:rPr>
        <w:t>Referencias citadas según normas de Vancouver, por orden de aparición en el texto:</w:t>
      </w:r>
    </w:p>
    <w:p w14:paraId="18C1E91D" w14:textId="77777777" w:rsidR="005E0144" w:rsidRPr="005E0144" w:rsidRDefault="005E0144" w:rsidP="005E0144">
      <w:pPr>
        <w:jc w:val="both"/>
      </w:pPr>
      <w:r w:rsidRPr="005E0144">
        <w:t>1. Ministerio de Sanidad. Historia Clínica Digital del Sistema Nacional de Salud (HCDSNS) [Internet]. Madrid: Ministerio de Sanidad; 2026 [consultado 10 jul 2026]. Disponible en: https://www.sanidad.gob.es/profesionales/hcdsns/home.htm</w:t>
      </w:r>
    </w:p>
    <w:p w14:paraId="6218C6BD" w14:textId="77777777" w:rsidR="005E0144" w:rsidRPr="005E0144" w:rsidRDefault="005E0144" w:rsidP="005E0144">
      <w:pPr>
        <w:jc w:val="both"/>
      </w:pPr>
      <w:r w:rsidRPr="005E0144">
        <w:t>2. Unión Europea. Reglamento (UE) 2025/327 del Parlamento Europeo y del Consejo, relativo al Espacio Europeo de Datos Sanitarios. Diario Oficial de la Unión Europea, 2025.</w:t>
      </w:r>
    </w:p>
    <w:p w14:paraId="6B8D2C41" w14:textId="77777777" w:rsidR="005E0144" w:rsidRPr="005E0144" w:rsidRDefault="005E0144" w:rsidP="005E0144">
      <w:pPr>
        <w:jc w:val="both"/>
      </w:pPr>
      <w:r w:rsidRPr="005E0144">
        <w:t>3. Ministerio de Sanidad. Consulta pública previa del Anteproyecto de Ley de Salud Digital. Madrid: Ministerio de Sanidad; 2026.</w:t>
      </w:r>
    </w:p>
    <w:p w14:paraId="21E7B386" w14:textId="77777777" w:rsidR="005E0144" w:rsidRPr="005E0144" w:rsidRDefault="005E0144" w:rsidP="005E0144">
      <w:pPr>
        <w:jc w:val="both"/>
      </w:pPr>
      <w:r w:rsidRPr="005E0144">
        <w:t xml:space="preserve">4. España. Ley Orgánica 3/2018, de 5 de diciembre, de Protección de Datos Personales y garantía de los derechos digitales. Boletín Oficial del Estado, </w:t>
      </w:r>
      <w:proofErr w:type="spellStart"/>
      <w:r w:rsidRPr="005E0144">
        <w:t>nº</w:t>
      </w:r>
      <w:proofErr w:type="spellEnd"/>
      <w:r w:rsidRPr="005E0144">
        <w:t xml:space="preserve"> 294, de 6 de diciembre de 2018.</w:t>
      </w:r>
    </w:p>
    <w:p w14:paraId="50DEE389" w14:textId="77777777" w:rsidR="005E0144" w:rsidRPr="005E0144" w:rsidRDefault="005E0144" w:rsidP="005E0144">
      <w:pPr>
        <w:jc w:val="both"/>
      </w:pPr>
      <w:r w:rsidRPr="005E0144">
        <w:t>5. Ministerio de Sanidad, Consumo y Bienestar Social. Conjunto Mínimo de Datos y estándares de la Historia Clínica Digital del Sistema Nacional de Salud. Madrid: Ministerio de Sanidad; 2015.</w:t>
      </w:r>
    </w:p>
    <w:p w14:paraId="11CBE008" w14:textId="77777777" w:rsidR="005E0144" w:rsidRPr="005E0144" w:rsidRDefault="005E0144" w:rsidP="005E0144">
      <w:pPr>
        <w:jc w:val="both"/>
      </w:pPr>
      <w:r w:rsidRPr="005E0144">
        <w:t>6. Carnicero J, Fernández A, editores. Manual de salud electrónica para directivos de servicios y sistemas de salud. Santiago de Chile: CEPAL; 2012.</w:t>
      </w:r>
    </w:p>
    <w:p w14:paraId="5559BF17" w14:textId="77777777" w:rsidR="005E0144" w:rsidRDefault="005E0144" w:rsidP="00A7643B">
      <w:pPr>
        <w:jc w:val="both"/>
      </w:pPr>
    </w:p>
    <w:p w14:paraId="6558643E" w14:textId="77777777" w:rsidR="005E0144" w:rsidRDefault="005E0144" w:rsidP="00A7643B">
      <w:pPr>
        <w:jc w:val="both"/>
      </w:pPr>
    </w:p>
    <w:p w14:paraId="2FE88938" w14:textId="77777777" w:rsidR="005E0144" w:rsidRDefault="005E0144" w:rsidP="00A7643B">
      <w:pPr>
        <w:jc w:val="both"/>
      </w:pPr>
    </w:p>
    <w:p w14:paraId="1A42190D" w14:textId="77777777" w:rsidR="005E0144" w:rsidRDefault="005E0144" w:rsidP="00A7643B">
      <w:pPr>
        <w:jc w:val="both"/>
      </w:pPr>
    </w:p>
    <w:p w14:paraId="2FA72B35" w14:textId="77777777" w:rsidR="005E0144" w:rsidRDefault="005E0144" w:rsidP="00A7643B">
      <w:pPr>
        <w:jc w:val="both"/>
      </w:pPr>
    </w:p>
    <w:p w14:paraId="6E4A9438" w14:textId="77777777" w:rsidR="005E0144" w:rsidRDefault="005E0144" w:rsidP="00A7643B">
      <w:pPr>
        <w:jc w:val="both"/>
      </w:pPr>
    </w:p>
    <w:p w14:paraId="32FE8FB1" w14:textId="77777777" w:rsidR="005E0144" w:rsidRDefault="005E0144" w:rsidP="00A7643B">
      <w:pPr>
        <w:jc w:val="both"/>
      </w:pPr>
    </w:p>
    <w:p w14:paraId="7B92B7ED" w14:textId="77777777" w:rsidR="005E0144" w:rsidRDefault="005E0144" w:rsidP="00A7643B">
      <w:pPr>
        <w:jc w:val="both"/>
      </w:pPr>
    </w:p>
    <w:p w14:paraId="1082F460" w14:textId="77777777" w:rsidR="005E0144" w:rsidRDefault="005E0144" w:rsidP="00A7643B">
      <w:pPr>
        <w:jc w:val="both"/>
      </w:pPr>
    </w:p>
    <w:p w14:paraId="2D7ADA38" w14:textId="77777777" w:rsidR="005E0144" w:rsidRDefault="005E0144" w:rsidP="00A7643B">
      <w:pPr>
        <w:jc w:val="both"/>
      </w:pPr>
    </w:p>
    <w:p w14:paraId="235E9B2D" w14:textId="77777777" w:rsidR="005E0144" w:rsidRDefault="005E0144" w:rsidP="00A7643B">
      <w:pPr>
        <w:jc w:val="both"/>
      </w:pPr>
    </w:p>
    <w:p w14:paraId="3BA1C310" w14:textId="77777777" w:rsidR="005E0144" w:rsidRPr="005E0144" w:rsidRDefault="005E0144" w:rsidP="005E0144">
      <w:pPr>
        <w:jc w:val="both"/>
      </w:pPr>
      <w:r w:rsidRPr="005E0144">
        <w:rPr>
          <w:b/>
        </w:rPr>
        <w:lastRenderedPageBreak/>
        <w:t>Síndrome de Burnout en el ámbito hospitalario</w:t>
      </w:r>
    </w:p>
    <w:p w14:paraId="47C51993" w14:textId="77777777" w:rsidR="005E0144" w:rsidRPr="005E0144" w:rsidRDefault="005E0144" w:rsidP="005E0144">
      <w:pPr>
        <w:jc w:val="both"/>
        <w:rPr>
          <w:b/>
        </w:rPr>
      </w:pPr>
      <w:r w:rsidRPr="005E0144">
        <w:rPr>
          <w:b/>
        </w:rPr>
        <w:t>INTRUCCION</w:t>
      </w:r>
    </w:p>
    <w:p w14:paraId="6F72F14B" w14:textId="77777777" w:rsidR="005E0144" w:rsidRPr="005E0144" w:rsidRDefault="005E0144" w:rsidP="005E0144">
      <w:pPr>
        <w:jc w:val="both"/>
      </w:pPr>
      <w:r w:rsidRPr="005E0144">
        <w:t>El síndrome de burnout, también conocido como síndrome de desgaste profesional, es un problema cada vez más frecuente en el ámbito hospitalario. Se trata de una respuesta al estrés laboral crónico, especialmente en profesiones que implican una alta carga emocional y contacto constante con el sufrimiento humano, como ocurre en médicos, enfermeros y personal sanitario.</w:t>
      </w:r>
    </w:p>
    <w:p w14:paraId="279FC2BC" w14:textId="77777777" w:rsidR="005E0144" w:rsidRPr="005E0144" w:rsidRDefault="005E0144" w:rsidP="005E0144">
      <w:pPr>
        <w:jc w:val="both"/>
      </w:pPr>
      <w:r w:rsidRPr="005E0144">
        <w:t>Este síndrome fue descrito inicialmente por Herbert Freudenberger en 1974 y posteriormente desarrollado por Christina Maslach, quien lo definió a través de tres dimensiones principales: el agotamiento emocional, la despersonalización y la baja realización personal. En el entorno hospitalario, estas manifestaciones pueden tener consecuencias tanto para los profesionales como para los pacientes.</w:t>
      </w:r>
    </w:p>
    <w:p w14:paraId="36FE5CC5" w14:textId="77777777" w:rsidR="005E0144" w:rsidRPr="005E0144" w:rsidRDefault="005E0144" w:rsidP="005E0144">
      <w:pPr>
        <w:jc w:val="both"/>
      </w:pPr>
      <w:r w:rsidRPr="005E0144">
        <w:t>El agotamiento emocional se refiere a la sensación de estar física y mentalmente exhausto debido a las demandas del trabajo. En hospitales, esto suele estar relacionado con jornadas largas, turnos nocturnos, alta presión asistencial y escasez de recursos. La despersonalización implica una actitud distante o fría hacia los pacientes, lo que puede afectar negativamente la calidad de la atención. Por último, la baja realización personal se manifiesta como una percepción de ineficacia y falta de logros en el trabajo.</w:t>
      </w:r>
    </w:p>
    <w:p w14:paraId="5739CD6D" w14:textId="77777777" w:rsidR="005E0144" w:rsidRPr="005E0144" w:rsidRDefault="005E0144" w:rsidP="005E0144">
      <w:pPr>
        <w:jc w:val="both"/>
      </w:pPr>
      <w:r w:rsidRPr="005E0144">
        <w:t>Entre los factores de riesgo más relevantes en el ámbito hospitalario se encuentran la sobrecarga laboral, la falta de apoyo organizacional, la presión por tomar decisiones críticas, la exposición continua al dolor y la muerte, y la escasa conciliación entre la vida laboral y personal. Además, la pandemia de COVID-19 ha intensificado estos factores, aumentando significativamente los niveles de estrés en el personal sanitario.</w:t>
      </w:r>
    </w:p>
    <w:p w14:paraId="5F8AC2F6" w14:textId="77777777" w:rsidR="005E0144" w:rsidRPr="005E0144" w:rsidRDefault="005E0144" w:rsidP="005E0144">
      <w:pPr>
        <w:jc w:val="both"/>
      </w:pPr>
      <w:r w:rsidRPr="005E0144">
        <w:t xml:space="preserve">Las consecuencias del burnout son múltiples. A nivel individual, puede provocar ansiedad, depresión, trastornos del sueño y problemas físicos como cefaleas o enfermedades cardiovasculares. A nivel organizacional, se traduce en mayor absentismo, rotación del personal y disminución en la calidad del cuidado. Esto último </w:t>
      </w:r>
      <w:r w:rsidRPr="005E0144">
        <w:rPr>
          <w:b/>
        </w:rPr>
        <w:t>Síndrome de Burnout en el ámbito hospitalario</w:t>
      </w:r>
    </w:p>
    <w:p w14:paraId="69663493" w14:textId="77777777" w:rsidR="005E0144" w:rsidRPr="005E0144" w:rsidRDefault="005E0144" w:rsidP="005E0144">
      <w:pPr>
        <w:jc w:val="both"/>
      </w:pPr>
      <w:r w:rsidRPr="005E0144">
        <w:t>El síndrome de burnout, también conocido como síndrome de desgaste profesional, es un problema cada vez más frecuente en el ámbito hospitalario. Se trata de una respuesta al estrés laboral crónico, especialmente en profesiones que implican una alta carga emocional y contacto constante con el sufrimiento humano, como ocurre en médicos, enfermeros y personal sanitario.</w:t>
      </w:r>
    </w:p>
    <w:p w14:paraId="10FBEA1C" w14:textId="77777777" w:rsidR="005E0144" w:rsidRPr="005E0144" w:rsidRDefault="005E0144" w:rsidP="005E0144">
      <w:pPr>
        <w:jc w:val="both"/>
      </w:pPr>
      <w:r w:rsidRPr="005E0144">
        <w:t xml:space="preserve">Este síndrome fue descrito inicialmente por Herbert Freudenberger en 1974 y posteriormente desarrollado por Christina Maslach, quien lo definió a través de tres </w:t>
      </w:r>
      <w:r w:rsidRPr="005E0144">
        <w:lastRenderedPageBreak/>
        <w:t>dimensiones principales: el agotamiento emocional, la despersonalización y la baja realización personal. En el entorno hospitalario, estas manifestaciones pueden tener consecuencias tanto para los profesionales como para los pacientes.</w:t>
      </w:r>
    </w:p>
    <w:p w14:paraId="2B50ED92" w14:textId="77777777" w:rsidR="005E0144" w:rsidRPr="005E0144" w:rsidRDefault="005E0144" w:rsidP="005E0144">
      <w:pPr>
        <w:jc w:val="both"/>
      </w:pPr>
      <w:r w:rsidRPr="005E0144">
        <w:t>El agotamiento emocional se refiere a la sensación de estar física y mentalmente exhausto debido a las demandas del trabajo. En hospitales, esto suele estar relacionado con jornadas largas, turnos nocturnos, alta presión asistencial y escasez de recursos. La despersonalización implica una actitud distante o fría hacia los pacientes, lo que puede afectar negativamente la calidad de la atención. Por último, la baja realización personal se manifiesta como una percepción de ineficacia y falta de logros en el trabajo.</w:t>
      </w:r>
    </w:p>
    <w:p w14:paraId="5AB6B2C2" w14:textId="77777777" w:rsidR="005E0144" w:rsidRPr="005E0144" w:rsidRDefault="005E0144" w:rsidP="005E0144">
      <w:pPr>
        <w:jc w:val="both"/>
      </w:pPr>
      <w:r w:rsidRPr="005E0144">
        <w:t>Entre los factores de riesgo más relevantes en el ámbito hospitalario se encuentran la sobrecarga laboral, la falta de apoyo organizacional, la presión por tomar decisiones críticas, la exposición continua al dolor y la muerte, y la escasa conciliación entre la vida laboral y personal. Además, la pandemia de COVID-19 ha intensificado estos factores, aumentando significativamente los niveles de estrés en el personal sanitario.</w:t>
      </w:r>
    </w:p>
    <w:p w14:paraId="2DF4A993" w14:textId="77777777" w:rsidR="005E0144" w:rsidRPr="005E0144" w:rsidRDefault="005E0144" w:rsidP="005E0144">
      <w:pPr>
        <w:jc w:val="both"/>
      </w:pPr>
      <w:r w:rsidRPr="005E0144">
        <w:t>Las consecuencias del burnout son múltiples. A nivel individual, puede provocar ansiedad, depresión, trastornos del sueño y problemas físicos como cefaleas o enfermedades cardiovasculares. A nivel organizacional, se traduce en mayor absentismo, rotación del personal y disminución en la calidad del cuidado. Esto último es especialmente preocupante, ya que puede comprometer la seguridad del paciente.</w:t>
      </w:r>
    </w:p>
    <w:p w14:paraId="1E1A31DD" w14:textId="77777777" w:rsidR="005E0144" w:rsidRPr="005E0144" w:rsidRDefault="005E0144" w:rsidP="005E0144">
      <w:pPr>
        <w:jc w:val="both"/>
      </w:pPr>
      <w:r w:rsidRPr="005E0144">
        <w:t>La prevención y el manejo del burnout requieren intervenciones tanto a nivel individual como institucional. Desde el punto de vista personal, es importante fomentar estrategias de afrontamiento como la gestión del estrés, el autocuidado, el ejercicio físico y el apoyo social. A nivel organizacional, los hospitales deben implementar políticas que promuevan un ambiente laboral saludable, como la reducción de cargas excesivas, el reconocimiento del trabajo realizado, la formación en habilidades emocionales y el acceso a apoyo psicológico.</w:t>
      </w:r>
    </w:p>
    <w:p w14:paraId="6DF7AD5F" w14:textId="77777777" w:rsidR="005E0144" w:rsidRPr="005E0144" w:rsidRDefault="005E0144" w:rsidP="005E0144">
      <w:pPr>
        <w:jc w:val="both"/>
      </w:pPr>
      <w:r w:rsidRPr="005E0144">
        <w:t xml:space="preserve">Asimismo, la detección precoz es clave. Herramientas como el Maslach Burnout </w:t>
      </w:r>
      <w:proofErr w:type="spellStart"/>
      <w:r w:rsidRPr="005E0144">
        <w:t>Inventory</w:t>
      </w:r>
      <w:proofErr w:type="spellEnd"/>
      <w:r w:rsidRPr="005E0144">
        <w:t xml:space="preserve"> permiten evaluar el nivel de desgaste en los profesionales y actuar antes de que el problema se agrave. La creación de espacios de comunicación y apoyo dentro de los equipos también contribuye a disminuir el impacto del estrés.</w:t>
      </w:r>
    </w:p>
    <w:p w14:paraId="51C2F74B" w14:textId="77777777" w:rsidR="005E0144" w:rsidRPr="005E0144" w:rsidRDefault="005E0144" w:rsidP="005E0144">
      <w:pPr>
        <w:jc w:val="both"/>
      </w:pPr>
      <w:r w:rsidRPr="005E0144">
        <w:t>En conclusión, el síndrome de burnout en el ámbito hospitalario es un problema complejo que afecta tanto al bienestar de los profesionales como a la calidad de la atención sanitaria. Su abordaje requiere una perspectiva integral que combine medidas individuales y organizacionales, con el objetivo de garantizar un entorno laboral saludable y una atención segura y humanizada.</w:t>
      </w:r>
    </w:p>
    <w:p w14:paraId="3F95D3BC" w14:textId="77777777" w:rsidR="005E0144" w:rsidRPr="005E0144" w:rsidRDefault="005E0144" w:rsidP="005E0144">
      <w:pPr>
        <w:jc w:val="both"/>
      </w:pPr>
      <w:r w:rsidRPr="005E0144">
        <w:rPr>
          <w:b/>
        </w:rPr>
        <w:lastRenderedPageBreak/>
        <w:t>Bibliografía</w:t>
      </w:r>
    </w:p>
    <w:p w14:paraId="71E8A4D1" w14:textId="77777777" w:rsidR="005E0144" w:rsidRPr="005E0144" w:rsidRDefault="005E0144" w:rsidP="005E0144">
      <w:pPr>
        <w:numPr>
          <w:ilvl w:val="0"/>
          <w:numId w:val="6"/>
        </w:numPr>
        <w:jc w:val="both"/>
      </w:pPr>
      <w:r w:rsidRPr="005E0144">
        <w:rPr>
          <w:lang w:val="en-GB"/>
        </w:rPr>
        <w:t xml:space="preserve">Maslach, C., &amp; Jackson, S. E. (1981). </w:t>
      </w:r>
      <w:r w:rsidRPr="005E0144">
        <w:rPr>
          <w:i/>
          <w:lang w:val="en-GB"/>
        </w:rPr>
        <w:t>The measurement of experienced burnout</w:t>
      </w:r>
      <w:r w:rsidRPr="005E0144">
        <w:rPr>
          <w:lang w:val="en-GB"/>
        </w:rPr>
        <w:t xml:space="preserve">. </w:t>
      </w:r>
      <w:proofErr w:type="spellStart"/>
      <w:r w:rsidRPr="005E0144">
        <w:t>Journal</w:t>
      </w:r>
      <w:proofErr w:type="spellEnd"/>
      <w:r w:rsidRPr="005E0144">
        <w:t xml:space="preserve"> </w:t>
      </w:r>
      <w:proofErr w:type="spellStart"/>
      <w:r w:rsidRPr="005E0144">
        <w:t>of</w:t>
      </w:r>
      <w:proofErr w:type="spellEnd"/>
      <w:r w:rsidRPr="005E0144">
        <w:t xml:space="preserve"> </w:t>
      </w:r>
      <w:proofErr w:type="spellStart"/>
      <w:r w:rsidRPr="005E0144">
        <w:t>Occupational</w:t>
      </w:r>
      <w:proofErr w:type="spellEnd"/>
      <w:r w:rsidRPr="005E0144">
        <w:t xml:space="preserve"> </w:t>
      </w:r>
      <w:proofErr w:type="spellStart"/>
      <w:r w:rsidRPr="005E0144">
        <w:t>Behavior</w:t>
      </w:r>
      <w:proofErr w:type="spellEnd"/>
      <w:r w:rsidRPr="005E0144">
        <w:t xml:space="preserve">. </w:t>
      </w:r>
    </w:p>
    <w:p w14:paraId="0507D7BF" w14:textId="77777777" w:rsidR="005E0144" w:rsidRPr="005E0144" w:rsidRDefault="005E0144" w:rsidP="005E0144">
      <w:pPr>
        <w:numPr>
          <w:ilvl w:val="0"/>
          <w:numId w:val="6"/>
        </w:numPr>
        <w:jc w:val="both"/>
      </w:pPr>
      <w:r w:rsidRPr="005E0144">
        <w:rPr>
          <w:lang w:val="en-GB"/>
        </w:rPr>
        <w:t xml:space="preserve">Freudenberger, H. J. (1974). </w:t>
      </w:r>
      <w:r w:rsidRPr="005E0144">
        <w:rPr>
          <w:i/>
          <w:lang w:val="en-GB"/>
        </w:rPr>
        <w:t>Staff burn-out</w:t>
      </w:r>
      <w:r w:rsidRPr="005E0144">
        <w:rPr>
          <w:lang w:val="en-GB"/>
        </w:rPr>
        <w:t xml:space="preserve">. </w:t>
      </w:r>
      <w:proofErr w:type="spellStart"/>
      <w:r w:rsidRPr="005E0144">
        <w:t>Journal</w:t>
      </w:r>
      <w:proofErr w:type="spellEnd"/>
      <w:r w:rsidRPr="005E0144">
        <w:t xml:space="preserve"> </w:t>
      </w:r>
      <w:proofErr w:type="spellStart"/>
      <w:r w:rsidRPr="005E0144">
        <w:t>of</w:t>
      </w:r>
      <w:proofErr w:type="spellEnd"/>
      <w:r w:rsidRPr="005E0144">
        <w:t xml:space="preserve"> Social Issues. </w:t>
      </w:r>
    </w:p>
    <w:p w14:paraId="18EC6A91" w14:textId="77777777" w:rsidR="005E0144" w:rsidRPr="005E0144" w:rsidRDefault="005E0144" w:rsidP="005E0144">
      <w:pPr>
        <w:numPr>
          <w:ilvl w:val="0"/>
          <w:numId w:val="6"/>
        </w:numPr>
        <w:jc w:val="both"/>
      </w:pPr>
      <w:r w:rsidRPr="005E0144">
        <w:t xml:space="preserve">Organización Mundial de la Salud (OMS). (2019). </w:t>
      </w:r>
      <w:r w:rsidRPr="005E0144">
        <w:rPr>
          <w:i/>
        </w:rPr>
        <w:t>Clasificación Internacional de Enfermedades (CIE-11)</w:t>
      </w:r>
      <w:r w:rsidRPr="005E0144">
        <w:t xml:space="preserve">. </w:t>
      </w:r>
    </w:p>
    <w:p w14:paraId="40C10EA6" w14:textId="77777777" w:rsidR="005E0144" w:rsidRPr="005E0144" w:rsidRDefault="005E0144" w:rsidP="005E0144">
      <w:pPr>
        <w:numPr>
          <w:ilvl w:val="0"/>
          <w:numId w:val="6"/>
        </w:numPr>
        <w:jc w:val="both"/>
      </w:pPr>
      <w:r w:rsidRPr="005E0144">
        <w:rPr>
          <w:lang w:val="en-GB"/>
        </w:rPr>
        <w:t xml:space="preserve">Shanafelt, T. D., et al. (2015). </w:t>
      </w:r>
      <w:r w:rsidRPr="005E0144">
        <w:rPr>
          <w:i/>
          <w:lang w:val="en-GB"/>
        </w:rPr>
        <w:t>Changes in burnout and satisfaction with work-life balance in physicians</w:t>
      </w:r>
      <w:r w:rsidRPr="005E0144">
        <w:rPr>
          <w:lang w:val="en-GB"/>
        </w:rPr>
        <w:t xml:space="preserve">. </w:t>
      </w:r>
      <w:r w:rsidRPr="005E0144">
        <w:t xml:space="preserve">Mayo </w:t>
      </w:r>
      <w:proofErr w:type="spellStart"/>
      <w:r w:rsidRPr="005E0144">
        <w:t>Clinic</w:t>
      </w:r>
      <w:proofErr w:type="spellEnd"/>
      <w:r w:rsidRPr="005E0144">
        <w:t xml:space="preserve"> </w:t>
      </w:r>
      <w:proofErr w:type="spellStart"/>
      <w:r w:rsidRPr="005E0144">
        <w:t>Proceedings</w:t>
      </w:r>
      <w:proofErr w:type="spellEnd"/>
      <w:r w:rsidRPr="005E0144">
        <w:t xml:space="preserve">. </w:t>
      </w:r>
    </w:p>
    <w:p w14:paraId="495BC534" w14:textId="77777777" w:rsidR="005E0144" w:rsidRPr="005E0144" w:rsidRDefault="005E0144" w:rsidP="005E0144">
      <w:pPr>
        <w:numPr>
          <w:ilvl w:val="0"/>
          <w:numId w:val="6"/>
        </w:numPr>
        <w:jc w:val="both"/>
      </w:pPr>
      <w:r w:rsidRPr="005E0144">
        <w:t xml:space="preserve">Gil-Monte, P. R. (2005). </w:t>
      </w:r>
      <w:r w:rsidRPr="005E0144">
        <w:rPr>
          <w:i/>
        </w:rPr>
        <w:t>El síndrome de quemarse por el trabajo (burnout)</w:t>
      </w:r>
      <w:r w:rsidRPr="005E0144">
        <w:t>. Pirámide.  es especialmente preocupante, ya que puede comprometer la seguridad del paciente.</w:t>
      </w:r>
    </w:p>
    <w:p w14:paraId="60A93FFE" w14:textId="77777777" w:rsidR="005E0144" w:rsidRPr="005E0144" w:rsidRDefault="005E0144" w:rsidP="005E0144">
      <w:pPr>
        <w:jc w:val="both"/>
      </w:pPr>
      <w:r w:rsidRPr="005E0144">
        <w:t>La prevención y el manejo del burnout requieren intervenciones tanto a nivel individual como institucional. Desde el punto de vista personal, es importante fomentar estrategias de afrontamiento como la gestión del estrés, el autocuidado, el ejercicio físico y el apoyo social. A nivel organizacional, los hospitales deben implementar políticas que promuevan un ambiente laboral saludable, como la reducción de cargas excesivas, el reconocimiento del trabajo realizado, la formación en habilidades emocionales y el acceso a apoyo psicológico.</w:t>
      </w:r>
    </w:p>
    <w:p w14:paraId="5808E6E3" w14:textId="77777777" w:rsidR="005E0144" w:rsidRPr="005E0144" w:rsidRDefault="005E0144" w:rsidP="005E0144">
      <w:pPr>
        <w:jc w:val="both"/>
      </w:pPr>
      <w:r w:rsidRPr="005E0144">
        <w:t xml:space="preserve">Asimismo, la detección precoz es clave. Herramientas como el Maslach Burnout </w:t>
      </w:r>
      <w:proofErr w:type="spellStart"/>
      <w:r w:rsidRPr="005E0144">
        <w:t>Inventory</w:t>
      </w:r>
      <w:proofErr w:type="spellEnd"/>
      <w:r w:rsidRPr="005E0144">
        <w:t xml:space="preserve"> permiten evaluar el nivel de desgaste en los profesionales y actuar antes de que el problema se agrave. La creación de espacios de comunicación y apoyo dentro de los equipos también contribuye a disminuir el impacto del estrés.</w:t>
      </w:r>
    </w:p>
    <w:p w14:paraId="688E76B7" w14:textId="77777777" w:rsidR="005E0144" w:rsidRPr="005E0144" w:rsidRDefault="005E0144" w:rsidP="005E0144">
      <w:pPr>
        <w:jc w:val="both"/>
      </w:pPr>
      <w:r w:rsidRPr="005E0144">
        <w:rPr>
          <w:b/>
        </w:rPr>
        <w:t>CONCLUSION</w:t>
      </w:r>
    </w:p>
    <w:p w14:paraId="3C6D4C08" w14:textId="77777777" w:rsidR="005E0144" w:rsidRPr="005E0144" w:rsidRDefault="005E0144" w:rsidP="005E0144">
      <w:pPr>
        <w:jc w:val="both"/>
      </w:pPr>
      <w:r w:rsidRPr="005E0144">
        <w:t xml:space="preserve"> El síndrome de burnout en el ámbito hospitalario es un problema complejo que afecta tanto al bienestar de los profesionales como a la calidad de la atención sanitaria. Su abordaje requiere una perspectiva integral que combine medidas individuales y organizacionales, con el objetivo de garantizar un entorno laboral saludable y una atención segura y humanizada. </w:t>
      </w:r>
      <w:r w:rsidRPr="005E0144">
        <w:rPr>
          <w:b/>
        </w:rPr>
        <w:t>Bibliografía</w:t>
      </w:r>
    </w:p>
    <w:p w14:paraId="480AAAEB" w14:textId="77777777" w:rsidR="005E0144" w:rsidRPr="005E0144" w:rsidRDefault="005E0144" w:rsidP="005E0144">
      <w:pPr>
        <w:numPr>
          <w:ilvl w:val="0"/>
          <w:numId w:val="7"/>
        </w:numPr>
        <w:jc w:val="both"/>
      </w:pPr>
      <w:r w:rsidRPr="005E0144">
        <w:rPr>
          <w:lang w:val="en-GB"/>
        </w:rPr>
        <w:t xml:space="preserve">Maslach, C., &amp; Jackson, S. E. (1981). </w:t>
      </w:r>
      <w:r w:rsidRPr="005E0144">
        <w:rPr>
          <w:i/>
          <w:lang w:val="en-GB"/>
        </w:rPr>
        <w:t>The measurement of experienced burnout</w:t>
      </w:r>
      <w:r w:rsidRPr="005E0144">
        <w:rPr>
          <w:lang w:val="en-GB"/>
        </w:rPr>
        <w:t xml:space="preserve">. </w:t>
      </w:r>
      <w:proofErr w:type="spellStart"/>
      <w:r w:rsidRPr="005E0144">
        <w:t>Journal</w:t>
      </w:r>
      <w:proofErr w:type="spellEnd"/>
      <w:r w:rsidRPr="005E0144">
        <w:t xml:space="preserve"> </w:t>
      </w:r>
      <w:proofErr w:type="spellStart"/>
      <w:r w:rsidRPr="005E0144">
        <w:t>of</w:t>
      </w:r>
      <w:proofErr w:type="spellEnd"/>
      <w:r w:rsidRPr="005E0144">
        <w:t xml:space="preserve"> </w:t>
      </w:r>
      <w:proofErr w:type="spellStart"/>
      <w:r w:rsidRPr="005E0144">
        <w:t>Occupational</w:t>
      </w:r>
      <w:proofErr w:type="spellEnd"/>
      <w:r w:rsidRPr="005E0144">
        <w:t xml:space="preserve"> </w:t>
      </w:r>
      <w:proofErr w:type="spellStart"/>
      <w:r w:rsidRPr="005E0144">
        <w:t>Behavior</w:t>
      </w:r>
      <w:proofErr w:type="spellEnd"/>
      <w:r w:rsidRPr="005E0144">
        <w:t xml:space="preserve">. </w:t>
      </w:r>
    </w:p>
    <w:p w14:paraId="5C4BD54F" w14:textId="77777777" w:rsidR="005E0144" w:rsidRPr="005E0144" w:rsidRDefault="005E0144" w:rsidP="005E0144">
      <w:pPr>
        <w:numPr>
          <w:ilvl w:val="0"/>
          <w:numId w:val="7"/>
        </w:numPr>
        <w:jc w:val="both"/>
      </w:pPr>
      <w:r w:rsidRPr="005E0144">
        <w:rPr>
          <w:lang w:val="en-GB"/>
        </w:rPr>
        <w:t xml:space="preserve">Freudenberger, H. J. (1974). </w:t>
      </w:r>
      <w:r w:rsidRPr="005E0144">
        <w:rPr>
          <w:i/>
          <w:lang w:val="en-GB"/>
        </w:rPr>
        <w:t>Staff burn-out</w:t>
      </w:r>
      <w:r w:rsidRPr="005E0144">
        <w:rPr>
          <w:lang w:val="en-GB"/>
        </w:rPr>
        <w:t xml:space="preserve">. </w:t>
      </w:r>
      <w:proofErr w:type="spellStart"/>
      <w:r w:rsidRPr="005E0144">
        <w:t>Journal</w:t>
      </w:r>
      <w:proofErr w:type="spellEnd"/>
      <w:r w:rsidRPr="005E0144">
        <w:t xml:space="preserve"> </w:t>
      </w:r>
      <w:proofErr w:type="spellStart"/>
      <w:r w:rsidRPr="005E0144">
        <w:t>of</w:t>
      </w:r>
      <w:proofErr w:type="spellEnd"/>
      <w:r w:rsidRPr="005E0144">
        <w:t xml:space="preserve"> Social Issues. </w:t>
      </w:r>
    </w:p>
    <w:p w14:paraId="64430CAA" w14:textId="77777777" w:rsidR="005E0144" w:rsidRPr="005E0144" w:rsidRDefault="005E0144" w:rsidP="005E0144">
      <w:pPr>
        <w:numPr>
          <w:ilvl w:val="0"/>
          <w:numId w:val="7"/>
        </w:numPr>
        <w:jc w:val="both"/>
      </w:pPr>
      <w:r w:rsidRPr="005E0144">
        <w:t xml:space="preserve">Organización Mundial de la Salud (OMS). (2019). </w:t>
      </w:r>
      <w:r w:rsidRPr="005E0144">
        <w:rPr>
          <w:i/>
        </w:rPr>
        <w:t>Clasificación Internacional de Enfermedades (CIE-11)</w:t>
      </w:r>
      <w:r w:rsidRPr="005E0144">
        <w:t xml:space="preserve">. </w:t>
      </w:r>
    </w:p>
    <w:p w14:paraId="7B49D535" w14:textId="77777777" w:rsidR="005E0144" w:rsidRPr="005E0144" w:rsidRDefault="005E0144" w:rsidP="005E0144">
      <w:pPr>
        <w:numPr>
          <w:ilvl w:val="0"/>
          <w:numId w:val="7"/>
        </w:numPr>
        <w:jc w:val="both"/>
      </w:pPr>
      <w:r w:rsidRPr="005E0144">
        <w:rPr>
          <w:lang w:val="en-GB"/>
        </w:rPr>
        <w:t xml:space="preserve">Shanafelt, T. D., et al. (2015). </w:t>
      </w:r>
      <w:r w:rsidRPr="005E0144">
        <w:rPr>
          <w:i/>
          <w:lang w:val="en-GB"/>
        </w:rPr>
        <w:t>Changes in burnout and satisfaction with work-life balance in physicians</w:t>
      </w:r>
      <w:r w:rsidRPr="005E0144">
        <w:rPr>
          <w:lang w:val="en-GB"/>
        </w:rPr>
        <w:t xml:space="preserve">. </w:t>
      </w:r>
      <w:r w:rsidRPr="005E0144">
        <w:t xml:space="preserve">Mayo </w:t>
      </w:r>
      <w:proofErr w:type="spellStart"/>
      <w:r w:rsidRPr="005E0144">
        <w:t>Clinic</w:t>
      </w:r>
      <w:proofErr w:type="spellEnd"/>
      <w:r w:rsidRPr="005E0144">
        <w:t xml:space="preserve"> </w:t>
      </w:r>
      <w:proofErr w:type="spellStart"/>
      <w:r w:rsidRPr="005E0144">
        <w:t>Proceedings</w:t>
      </w:r>
      <w:proofErr w:type="spellEnd"/>
      <w:r w:rsidRPr="005E0144">
        <w:t xml:space="preserve">. </w:t>
      </w:r>
    </w:p>
    <w:p w14:paraId="395D60FA" w14:textId="5A855155" w:rsidR="005E0144" w:rsidRDefault="005E0144" w:rsidP="005E0144">
      <w:pPr>
        <w:jc w:val="both"/>
      </w:pPr>
      <w:r w:rsidRPr="005E0144">
        <w:lastRenderedPageBreak/>
        <w:t xml:space="preserve">Gil-Monte, P. R. (2005). </w:t>
      </w:r>
      <w:r w:rsidRPr="005E0144">
        <w:rPr>
          <w:i/>
        </w:rPr>
        <w:t>El síndrome de quemarse por el trabajo (burnout)</w:t>
      </w:r>
      <w:r w:rsidRPr="005E0144">
        <w:t>. Pirámide</w:t>
      </w:r>
    </w:p>
    <w:p w14:paraId="5A9EFF80" w14:textId="77777777" w:rsidR="00CE24EF" w:rsidRDefault="00CE24EF" w:rsidP="005E0144">
      <w:pPr>
        <w:jc w:val="both"/>
      </w:pPr>
    </w:p>
    <w:p w14:paraId="059DA563" w14:textId="77777777" w:rsidR="00CE24EF" w:rsidRDefault="00CE24EF" w:rsidP="005E0144">
      <w:pPr>
        <w:jc w:val="both"/>
      </w:pPr>
    </w:p>
    <w:p w14:paraId="7159AF3A" w14:textId="77777777" w:rsidR="00CE24EF" w:rsidRDefault="00CE24EF" w:rsidP="005E0144">
      <w:pPr>
        <w:jc w:val="both"/>
      </w:pPr>
    </w:p>
    <w:p w14:paraId="715D5D47" w14:textId="77777777" w:rsidR="00CE24EF" w:rsidRDefault="00CE24EF" w:rsidP="005E0144">
      <w:pPr>
        <w:jc w:val="both"/>
      </w:pPr>
    </w:p>
    <w:p w14:paraId="48D55A3E" w14:textId="77777777" w:rsidR="00CE24EF" w:rsidRDefault="00CE24EF" w:rsidP="005E0144">
      <w:pPr>
        <w:jc w:val="both"/>
      </w:pPr>
    </w:p>
    <w:p w14:paraId="13AD2862" w14:textId="77777777" w:rsidR="00CE24EF" w:rsidRDefault="00CE24EF" w:rsidP="005E0144">
      <w:pPr>
        <w:jc w:val="both"/>
      </w:pPr>
    </w:p>
    <w:p w14:paraId="287E756D" w14:textId="77777777" w:rsidR="00CE24EF" w:rsidRDefault="00CE24EF" w:rsidP="005E0144">
      <w:pPr>
        <w:jc w:val="both"/>
      </w:pPr>
    </w:p>
    <w:p w14:paraId="3C2E8C6E" w14:textId="77777777" w:rsidR="00CE24EF" w:rsidRDefault="00CE24EF" w:rsidP="005E0144">
      <w:pPr>
        <w:jc w:val="both"/>
      </w:pPr>
    </w:p>
    <w:p w14:paraId="5FAA2A8B" w14:textId="77777777" w:rsidR="00CE24EF" w:rsidRDefault="00CE24EF" w:rsidP="005E0144">
      <w:pPr>
        <w:jc w:val="both"/>
      </w:pPr>
    </w:p>
    <w:p w14:paraId="0A5C5E31" w14:textId="77777777" w:rsidR="00CE24EF" w:rsidRDefault="00CE24EF" w:rsidP="005E0144">
      <w:pPr>
        <w:jc w:val="both"/>
      </w:pPr>
    </w:p>
    <w:p w14:paraId="633D67D2" w14:textId="77777777" w:rsidR="00CE24EF" w:rsidRDefault="00CE24EF" w:rsidP="005E0144">
      <w:pPr>
        <w:jc w:val="both"/>
      </w:pPr>
    </w:p>
    <w:p w14:paraId="2C8933C2" w14:textId="77777777" w:rsidR="00CE24EF" w:rsidRDefault="00CE24EF" w:rsidP="005E0144">
      <w:pPr>
        <w:jc w:val="both"/>
      </w:pPr>
    </w:p>
    <w:p w14:paraId="00238E77" w14:textId="77777777" w:rsidR="00CE24EF" w:rsidRDefault="00CE24EF" w:rsidP="005E0144">
      <w:pPr>
        <w:jc w:val="both"/>
      </w:pPr>
    </w:p>
    <w:p w14:paraId="4C944764" w14:textId="77777777" w:rsidR="00CE24EF" w:rsidRDefault="00CE24EF" w:rsidP="005E0144">
      <w:pPr>
        <w:jc w:val="both"/>
      </w:pPr>
    </w:p>
    <w:p w14:paraId="2809FD73" w14:textId="77777777" w:rsidR="00CE24EF" w:rsidRDefault="00CE24EF" w:rsidP="005E0144">
      <w:pPr>
        <w:jc w:val="both"/>
      </w:pPr>
    </w:p>
    <w:p w14:paraId="7CA8DDE6" w14:textId="77777777" w:rsidR="00CE24EF" w:rsidRDefault="00CE24EF" w:rsidP="005E0144">
      <w:pPr>
        <w:jc w:val="both"/>
      </w:pPr>
    </w:p>
    <w:p w14:paraId="73977DD4" w14:textId="77777777" w:rsidR="00CE24EF" w:rsidRDefault="00CE24EF" w:rsidP="005E0144">
      <w:pPr>
        <w:jc w:val="both"/>
      </w:pPr>
    </w:p>
    <w:p w14:paraId="789AD113" w14:textId="77777777" w:rsidR="00CE24EF" w:rsidRDefault="00CE24EF" w:rsidP="005E0144">
      <w:pPr>
        <w:jc w:val="both"/>
      </w:pPr>
    </w:p>
    <w:p w14:paraId="3645B298" w14:textId="77777777" w:rsidR="00CE24EF" w:rsidRDefault="00CE24EF" w:rsidP="005E0144">
      <w:pPr>
        <w:jc w:val="both"/>
      </w:pPr>
    </w:p>
    <w:p w14:paraId="1F70F6FA" w14:textId="77777777" w:rsidR="00CE24EF" w:rsidRDefault="00CE24EF" w:rsidP="005E0144">
      <w:pPr>
        <w:jc w:val="both"/>
      </w:pPr>
    </w:p>
    <w:p w14:paraId="11C7D026" w14:textId="77777777" w:rsidR="00CE24EF" w:rsidRDefault="00CE24EF" w:rsidP="005E0144">
      <w:pPr>
        <w:jc w:val="both"/>
      </w:pPr>
    </w:p>
    <w:p w14:paraId="59139BD9" w14:textId="77777777" w:rsidR="00CE24EF" w:rsidRDefault="00CE24EF" w:rsidP="005E0144">
      <w:pPr>
        <w:jc w:val="both"/>
      </w:pPr>
    </w:p>
    <w:p w14:paraId="48D629B6" w14:textId="77777777" w:rsidR="00CE24EF" w:rsidRDefault="00CE24EF" w:rsidP="005E0144">
      <w:pPr>
        <w:jc w:val="both"/>
      </w:pPr>
    </w:p>
    <w:p w14:paraId="52148DCD" w14:textId="77777777" w:rsidR="00CE24EF" w:rsidRDefault="00CE24EF" w:rsidP="005E0144">
      <w:pPr>
        <w:jc w:val="both"/>
      </w:pPr>
    </w:p>
    <w:p w14:paraId="467AC3B4" w14:textId="77777777" w:rsidR="00CE24EF" w:rsidRDefault="00CE24EF" w:rsidP="005E0144">
      <w:pPr>
        <w:jc w:val="both"/>
      </w:pPr>
    </w:p>
    <w:p w14:paraId="57AC65EE" w14:textId="77777777" w:rsidR="00CE24EF" w:rsidRDefault="00CE24EF" w:rsidP="005E0144">
      <w:pPr>
        <w:jc w:val="both"/>
      </w:pPr>
    </w:p>
    <w:p w14:paraId="2B3BEE9B" w14:textId="77777777" w:rsidR="00CE24EF" w:rsidRDefault="00CE24EF" w:rsidP="005E0144">
      <w:pPr>
        <w:jc w:val="both"/>
      </w:pPr>
    </w:p>
    <w:p w14:paraId="6D5FE4F7" w14:textId="77777777" w:rsidR="00CE24EF" w:rsidRPr="00CE24EF" w:rsidRDefault="00CE24EF" w:rsidP="00CE24EF">
      <w:pPr>
        <w:jc w:val="both"/>
      </w:pPr>
      <w:r w:rsidRPr="00CE24EF">
        <w:rPr>
          <w:b/>
        </w:rPr>
        <w:lastRenderedPageBreak/>
        <w:t>PROTECCION DE DATOS</w:t>
      </w:r>
    </w:p>
    <w:p w14:paraId="12DFC99D" w14:textId="77777777" w:rsidR="00CE24EF" w:rsidRPr="00CE24EF" w:rsidRDefault="00CE24EF" w:rsidP="00CE24EF">
      <w:pPr>
        <w:jc w:val="both"/>
      </w:pPr>
      <w:r w:rsidRPr="00CE24EF">
        <w:t>La protección de datos es un tema crucial en el entorno sanitario, ya que implica la gestión, almacenamiento y uso adecuado de la información personal y médica de los pacientes. La legislación vigente, como el Reglamento General de Protección de Datos (RGPD) de la Unión Europea, establece normas claras para asegurar que los datos de los pacientes se manejen de manera segura y respetuosa. Tanto el personal sanitario como el no sanitario deben cumplir con estas normativas, pero con diferentes responsabilidades según su rol dentro de la institución.</w:t>
      </w:r>
    </w:p>
    <w:p w14:paraId="2E465A56" w14:textId="77777777" w:rsidR="00CE24EF" w:rsidRPr="00CE24EF" w:rsidRDefault="00CE24EF" w:rsidP="00CE24EF">
      <w:pPr>
        <w:jc w:val="both"/>
        <w:rPr>
          <w:b/>
        </w:rPr>
      </w:pPr>
      <w:r w:rsidRPr="00CE24EF">
        <w:rPr>
          <w:b/>
        </w:rPr>
        <w:t>Contexto Legal y Normativo</w:t>
      </w:r>
    </w:p>
    <w:p w14:paraId="5C0467F6" w14:textId="77777777" w:rsidR="00CE24EF" w:rsidRPr="00CE24EF" w:rsidRDefault="00CE24EF" w:rsidP="00CE24EF">
      <w:pPr>
        <w:jc w:val="both"/>
      </w:pPr>
      <w:r w:rsidRPr="00CE24EF">
        <w:t>La protección de datos en el ámbito sanitario se rige por diversas normativas nacionales e internacionales. En Europa, el RGPD, vigente desde mayo de 2018, establece un marco robusto para el tratamiento de los datos personales de los ciudadanos, garantizando su privacidad y derecho a la autodeterminación informativa. Este reglamento también se aplica a los datos médicos, que están considerados como datos sensibles debido a su naturaleza delicada.</w:t>
      </w:r>
    </w:p>
    <w:p w14:paraId="30153697" w14:textId="77777777" w:rsidR="00CE24EF" w:rsidRPr="00CE24EF" w:rsidRDefault="00CE24EF" w:rsidP="00CE24EF">
      <w:pPr>
        <w:jc w:val="both"/>
      </w:pPr>
      <w:r w:rsidRPr="00CE24EF">
        <w:t>El personal sanitario y no sanitario debe estar familiarizado con el concepto de dato personal (información que permite identificar a una persona), dato sensible (como la salud, creencias religiosas, etc.) y los principios fundamentales que regulan el tratamiento de dichos datos, como la licitud, minimización y transparencia.</w:t>
      </w:r>
    </w:p>
    <w:p w14:paraId="38DBF9C0" w14:textId="77777777" w:rsidR="00CE24EF" w:rsidRPr="00CE24EF" w:rsidRDefault="00CE24EF" w:rsidP="00CE24EF">
      <w:pPr>
        <w:jc w:val="both"/>
      </w:pPr>
      <w:r w:rsidRPr="00CE24EF">
        <w:rPr>
          <w:b/>
        </w:rPr>
        <w:t>Responsabilidad del Personal Sanitario</w:t>
      </w:r>
    </w:p>
    <w:p w14:paraId="6A090BBF" w14:textId="77777777" w:rsidR="00CE24EF" w:rsidRPr="00CE24EF" w:rsidRDefault="00CE24EF" w:rsidP="00CE24EF">
      <w:pPr>
        <w:jc w:val="both"/>
      </w:pPr>
      <w:r w:rsidRPr="00CE24EF">
        <w:t>El personal sanitario, que incluye médicos, enfermeros, auxiliares, técnicos de laboratorio y demás profesionales que tratan directamente con los pacientes, tiene la responsabilidad primaria de proteger la información médica de los pacientes. Esto implica varias acciones concretas:</w:t>
      </w:r>
    </w:p>
    <w:p w14:paraId="781485C9" w14:textId="77777777" w:rsidR="00CE24EF" w:rsidRPr="00CE24EF" w:rsidRDefault="00CE24EF" w:rsidP="00CE24EF">
      <w:pPr>
        <w:jc w:val="both"/>
      </w:pPr>
      <w:r w:rsidRPr="00CE24EF">
        <w:rPr>
          <w:b/>
          <w:u w:val="single"/>
        </w:rPr>
        <w:t xml:space="preserve"> </w:t>
      </w:r>
      <w:proofErr w:type="gramStart"/>
      <w:r w:rsidRPr="00CE24EF">
        <w:rPr>
          <w:b/>
          <w:u w:val="single"/>
        </w:rPr>
        <w:t xml:space="preserve">Confidencialidad </w:t>
      </w:r>
      <w:r w:rsidRPr="00CE24EF">
        <w:rPr>
          <w:u w:val="single"/>
        </w:rPr>
        <w:t>:</w:t>
      </w:r>
      <w:proofErr w:type="gramEnd"/>
      <w:r w:rsidRPr="00CE24EF">
        <w:rPr>
          <w:b/>
          <w:u w:val="single"/>
        </w:rPr>
        <w:t xml:space="preserve"> </w:t>
      </w:r>
      <w:r w:rsidRPr="00CE24EF">
        <w:t xml:space="preserve"> Los datos de los pacientes deben mantenerse en estricta confidencialidad, tanto en el entorno físico (expedientes médicos, fichas) como en el digital (bases de datos electrónicas). Los profesionales deben asegurar que solo las personas autorizadas tengan acceso a esta información.</w:t>
      </w:r>
    </w:p>
    <w:p w14:paraId="465D6356" w14:textId="77777777" w:rsidR="00CE24EF" w:rsidRPr="00CE24EF" w:rsidRDefault="00CE24EF" w:rsidP="00CE24EF">
      <w:pPr>
        <w:jc w:val="both"/>
      </w:pPr>
      <w:r w:rsidRPr="00CE24EF">
        <w:rPr>
          <w:b/>
          <w:u w:val="single"/>
        </w:rPr>
        <w:t>Consentimiento informado</w:t>
      </w:r>
      <w:r w:rsidRPr="00CE24EF">
        <w:t>: Antes de que cualquier tratamiento se lleve a cabo, el paciente debe otorgar su consentimiento explícito para el tratamiento de sus datos personales. Esto es especialmente relevante en el caso de la historia clínica, que debe ser procesada y almacenada de acuerdo con los deseos del paciente.</w:t>
      </w:r>
    </w:p>
    <w:p w14:paraId="07B8A2B4" w14:textId="77777777" w:rsidR="00CE24EF" w:rsidRPr="00CE24EF" w:rsidRDefault="00CE24EF" w:rsidP="00CE24EF">
      <w:pPr>
        <w:jc w:val="both"/>
      </w:pPr>
      <w:r w:rsidRPr="00CE24EF">
        <w:rPr>
          <w:b/>
          <w:u w:val="single"/>
        </w:rPr>
        <w:t>Acceso restringido</w:t>
      </w:r>
      <w:r w:rsidRPr="00CE24EF">
        <w:t>: El acceso a los datos debe ser limitado solo a aquellos profesionales que realmente necesiten esa información para ofrecer un tratamiento adecuado. Los sistemas informáticos deben estar protegidos por contraseñas y otras medidas de seguridad.</w:t>
      </w:r>
    </w:p>
    <w:p w14:paraId="5146794E" w14:textId="77777777" w:rsidR="00CE24EF" w:rsidRPr="00CE24EF" w:rsidRDefault="00CE24EF" w:rsidP="00CE24EF">
      <w:pPr>
        <w:jc w:val="both"/>
      </w:pPr>
      <w:r w:rsidRPr="00CE24EF">
        <w:rPr>
          <w:b/>
          <w:u w:val="single"/>
        </w:rPr>
        <w:lastRenderedPageBreak/>
        <w:t>Formación continua</w:t>
      </w:r>
      <w:r w:rsidRPr="00CE24EF">
        <w:t>: El personal sanitario debe recibir formación periódica en protección de datos, con el fin de estar al tanto de las mejores prácticas y cambios legislativos que puedan afectar a la gestión de la información personal.</w:t>
      </w:r>
    </w:p>
    <w:p w14:paraId="17A87BBB" w14:textId="77777777" w:rsidR="00CE24EF" w:rsidRPr="00CE24EF" w:rsidRDefault="00CE24EF" w:rsidP="00CE24EF">
      <w:pPr>
        <w:jc w:val="both"/>
      </w:pPr>
      <w:r w:rsidRPr="00CE24EF">
        <w:rPr>
          <w:b/>
        </w:rPr>
        <w:t>Responsabilidad del Personal No Sanitario</w:t>
      </w:r>
    </w:p>
    <w:p w14:paraId="359F78F8" w14:textId="77777777" w:rsidR="00CE24EF" w:rsidRPr="00CE24EF" w:rsidRDefault="00CE24EF" w:rsidP="00CE24EF">
      <w:pPr>
        <w:jc w:val="both"/>
      </w:pPr>
      <w:r w:rsidRPr="00CE24EF">
        <w:t>El personal no sanitario, como los administrativos, técnicos, personal de limpieza, seguridad y otros, también juega un papel fundamental en la protección de los datos, aunque de manera diferente. Aunque no manejan directamente la información médica de los pacientes, tienen acceso a entornos donde se almacenan esos datos o a los sistemas que los protegen. Entre sus responsabilidades destacan:</w:t>
      </w:r>
    </w:p>
    <w:p w14:paraId="41F0993C" w14:textId="77777777" w:rsidR="00CE24EF" w:rsidRPr="00CE24EF" w:rsidRDefault="00CE24EF" w:rsidP="00CE24EF">
      <w:pPr>
        <w:jc w:val="both"/>
      </w:pPr>
      <w:r w:rsidRPr="00CE24EF">
        <w:rPr>
          <w:u w:val="single"/>
        </w:rPr>
        <w:t>Acceso a áreas restringidas:</w:t>
      </w:r>
      <w:r w:rsidRPr="00CE24EF">
        <w:t xml:space="preserve"> El personal no sanitario debe estar consciente de las áreas donde se manejan datos sensibles y tener claros los procedimientos para evitar el acceso no autorizado. Además, deben estar entrenados para saber qué hacer en caso de que se encuentren con documentos o sistemas que contengan datos personales.</w:t>
      </w:r>
    </w:p>
    <w:p w14:paraId="46337627" w14:textId="77777777" w:rsidR="00CE24EF" w:rsidRPr="00CE24EF" w:rsidRDefault="00CE24EF" w:rsidP="00CE24EF">
      <w:pPr>
        <w:jc w:val="both"/>
      </w:pPr>
      <w:r w:rsidRPr="00CE24EF">
        <w:rPr>
          <w:u w:val="single"/>
        </w:rPr>
        <w:t>Tratamiento de datos administrativos</w:t>
      </w:r>
      <w:r w:rsidRPr="00CE24EF">
        <w:t>: El personal administrativo, que maneja tareas como la inscripción de pacientes, la gestión de citas o la facturación, tiene acceso a ciertos datos personales. Deben cumplir con los principios de minimización y confidencialidad, recopilando solo los datos estrictamente necesarios para el servicio.</w:t>
      </w:r>
    </w:p>
    <w:p w14:paraId="3F488A76" w14:textId="77777777" w:rsidR="00CE24EF" w:rsidRPr="00CE24EF" w:rsidRDefault="00CE24EF" w:rsidP="00CE24EF">
      <w:pPr>
        <w:jc w:val="both"/>
      </w:pPr>
      <w:r w:rsidRPr="00CE24EF">
        <w:rPr>
          <w:u w:val="single"/>
        </w:rPr>
        <w:t>Gestión de equipos y herramientas tecnológicas</w:t>
      </w:r>
      <w:r w:rsidRPr="00CE24EF">
        <w:t>: Aquellos encargados de la administración de sistemas informáticos o de mantener la infraestructura tecnológica deben garantizar que los sistemas de almacenamiento de datos sean seguros, que se realicen copias de seguridad periódicas y que existan controles de acceso a la información.</w:t>
      </w:r>
    </w:p>
    <w:p w14:paraId="5CF4B7F8" w14:textId="77777777" w:rsidR="00CE24EF" w:rsidRPr="00CE24EF" w:rsidRDefault="00CE24EF" w:rsidP="00CE24EF">
      <w:pPr>
        <w:jc w:val="both"/>
        <w:rPr>
          <w:b/>
        </w:rPr>
      </w:pPr>
      <w:r w:rsidRPr="00CE24EF">
        <w:rPr>
          <w:b/>
        </w:rPr>
        <w:t>Riesgos y Medidas de Seguridad</w:t>
      </w:r>
    </w:p>
    <w:p w14:paraId="33427C89" w14:textId="77777777" w:rsidR="00CE24EF" w:rsidRPr="00CE24EF" w:rsidRDefault="00CE24EF" w:rsidP="00CE24EF">
      <w:pPr>
        <w:jc w:val="both"/>
      </w:pPr>
      <w:r w:rsidRPr="00CE24EF">
        <w:t>El tratamiento inadecuado de los datos personales puede llevar a sanciones severas, no solo por parte de las autoridades nacionales, sino también por las repercusiones en la reputación de la institución sanitaria y la confianza de los pacientes. Los principales riesgos incluyen:</w:t>
      </w:r>
    </w:p>
    <w:p w14:paraId="18B06CA3" w14:textId="77777777" w:rsidR="00CE24EF" w:rsidRPr="00CE24EF" w:rsidRDefault="00CE24EF" w:rsidP="00CE24EF">
      <w:pPr>
        <w:jc w:val="both"/>
      </w:pPr>
      <w:r w:rsidRPr="00CE24EF">
        <w:rPr>
          <w:u w:val="single"/>
        </w:rPr>
        <w:t>Filtración de datos</w:t>
      </w:r>
      <w:r w:rsidRPr="00CE24EF">
        <w:t>: El robo o la divulgación accidental de información médica personal, que puede causar daño tanto al paciente como a la institución.</w:t>
      </w:r>
    </w:p>
    <w:p w14:paraId="43446D06" w14:textId="77777777" w:rsidR="00CE24EF" w:rsidRPr="00CE24EF" w:rsidRDefault="00CE24EF" w:rsidP="00CE24EF">
      <w:pPr>
        <w:jc w:val="both"/>
      </w:pPr>
      <w:r w:rsidRPr="00CE24EF">
        <w:rPr>
          <w:u w:val="single"/>
        </w:rPr>
        <w:t>Acceso no autorizado:</w:t>
      </w:r>
      <w:r w:rsidRPr="00CE24EF">
        <w:t xml:space="preserve"> Si las personas equivocadas tienen acceso a la información sensible, pueden utilizarla indebidamente o con fines malintencionados.</w:t>
      </w:r>
    </w:p>
    <w:p w14:paraId="331767C8" w14:textId="77777777" w:rsidR="00CE24EF" w:rsidRPr="00CE24EF" w:rsidRDefault="00CE24EF" w:rsidP="00CE24EF">
      <w:pPr>
        <w:jc w:val="both"/>
      </w:pPr>
      <w:r w:rsidRPr="00CE24EF">
        <w:rPr>
          <w:u w:val="single"/>
        </w:rPr>
        <w:lastRenderedPageBreak/>
        <w:t>Errores en la gestión de datos:</w:t>
      </w:r>
      <w:r w:rsidRPr="00CE24EF">
        <w:t xml:space="preserve"> La falta de capacitación o la negligencia en el tratamiento de los datos puede generar errores en la historia clínica de los pacientes, afectando su tratamiento.</w:t>
      </w:r>
    </w:p>
    <w:p w14:paraId="23F52D03" w14:textId="77777777" w:rsidR="00CE24EF" w:rsidRPr="00CE24EF" w:rsidRDefault="00CE24EF" w:rsidP="00CE24EF">
      <w:pPr>
        <w:jc w:val="both"/>
      </w:pPr>
      <w:r w:rsidRPr="00CE24EF">
        <w:t>Para mitigar estos riesgos, las instituciones deben implementar medidas de seguridad adecuadas, como el uso de contraseñas fuertes, la encriptación de datos, la formación continua del personal y la supervisión de los sistemas.</w:t>
      </w:r>
    </w:p>
    <w:p w14:paraId="0FCC9F43" w14:textId="77777777" w:rsidR="00CE24EF" w:rsidRPr="00CE24EF" w:rsidRDefault="00CE24EF" w:rsidP="00CE24EF">
      <w:pPr>
        <w:jc w:val="both"/>
        <w:rPr>
          <w:b/>
        </w:rPr>
      </w:pPr>
      <w:r w:rsidRPr="00CE24EF">
        <w:rPr>
          <w:b/>
        </w:rPr>
        <w:t>Conclusión</w:t>
      </w:r>
    </w:p>
    <w:p w14:paraId="380698A5" w14:textId="77777777" w:rsidR="00CE24EF" w:rsidRPr="00CE24EF" w:rsidRDefault="00CE24EF" w:rsidP="00CE24EF">
      <w:pPr>
        <w:jc w:val="both"/>
      </w:pPr>
      <w:r w:rsidRPr="00CE24EF">
        <w:t>La protección de datos en el ámbito sanitario es una responsabilidad compartida entre el personal sanitario y no sanitario. Mientras que el personal sanitario tiene un contacto directo con los pacientes y sus datos médicos, el personal no sanitario también juega un papel crucial al manejar sistemas administrativos o entornos donde la información se almacena y se procesa. La clave está en asegurar la confidencialidad, la integridad y la disponibilidad de la información, cumpliendo con la legislación vigente y protegiendo los derechos de los pacientes.</w:t>
      </w:r>
    </w:p>
    <w:p w14:paraId="701ABA78" w14:textId="77777777" w:rsidR="00CE24EF" w:rsidRPr="00CE24EF" w:rsidRDefault="00CE24EF" w:rsidP="00CE24EF">
      <w:pPr>
        <w:jc w:val="both"/>
        <w:rPr>
          <w:b/>
        </w:rPr>
      </w:pPr>
      <w:r w:rsidRPr="00CE24EF">
        <w:rPr>
          <w:b/>
        </w:rPr>
        <w:t xml:space="preserve"> Bibliografía</w:t>
      </w:r>
    </w:p>
    <w:p w14:paraId="4C708734" w14:textId="77777777" w:rsidR="00CE24EF" w:rsidRPr="00CE24EF" w:rsidRDefault="00CE24EF" w:rsidP="00CE24EF">
      <w:pPr>
        <w:numPr>
          <w:ilvl w:val="0"/>
          <w:numId w:val="8"/>
        </w:numPr>
        <w:jc w:val="both"/>
      </w:pPr>
      <w:r w:rsidRPr="00CE24EF">
        <w:t>Reglamento (UE) 2016/679 del Parlamento Europeo y del Consejo de 27 de abril de 2016 relativo a la protección de las personas físicas en lo que respecta al tratamiento de datos personales y a la libre circulación de estos datos.</w:t>
      </w:r>
    </w:p>
    <w:p w14:paraId="13FFA83D" w14:textId="77777777" w:rsidR="00CE24EF" w:rsidRPr="00CE24EF" w:rsidRDefault="00CE24EF" w:rsidP="00CE24EF">
      <w:pPr>
        <w:numPr>
          <w:ilvl w:val="0"/>
          <w:numId w:val="8"/>
        </w:numPr>
        <w:jc w:val="both"/>
      </w:pPr>
      <w:r w:rsidRPr="00CE24EF">
        <w:t xml:space="preserve">López, L. (2019). Protección de Datos Personales en el Ámbito Sanitario. Editorial </w:t>
      </w:r>
      <w:proofErr w:type="spellStart"/>
      <w:r w:rsidRPr="00CE24EF">
        <w:t>Marbán</w:t>
      </w:r>
      <w:proofErr w:type="spellEnd"/>
      <w:r w:rsidRPr="00CE24EF">
        <w:t>.</w:t>
      </w:r>
    </w:p>
    <w:p w14:paraId="51E5F78A" w14:textId="77777777" w:rsidR="00CE24EF" w:rsidRPr="00CE24EF" w:rsidRDefault="00CE24EF" w:rsidP="00CE24EF">
      <w:pPr>
        <w:numPr>
          <w:ilvl w:val="0"/>
          <w:numId w:val="8"/>
        </w:numPr>
        <w:jc w:val="both"/>
      </w:pPr>
      <w:r w:rsidRPr="00CE24EF">
        <w:t>Gómez, J., &amp; Sánchez, M. (2020). Privacidad y protección de datos en el sector salud. Tirant lo Blanch.</w:t>
      </w:r>
    </w:p>
    <w:p w14:paraId="7E5638A1" w14:textId="77777777" w:rsidR="00CE24EF" w:rsidRPr="00CE24EF" w:rsidRDefault="00CE24EF" w:rsidP="00CE24EF">
      <w:pPr>
        <w:numPr>
          <w:ilvl w:val="0"/>
          <w:numId w:val="8"/>
        </w:numPr>
        <w:jc w:val="both"/>
      </w:pPr>
      <w:r w:rsidRPr="00CE24EF">
        <w:t>González, R. (2018). La protección de la privacidad en el ámbito sanitario. Ediciones Jurídicas Europa.</w:t>
      </w:r>
    </w:p>
    <w:p w14:paraId="4CC76DFA" w14:textId="77777777" w:rsidR="00CE24EF" w:rsidRPr="00CE24EF" w:rsidRDefault="00CE24EF" w:rsidP="00CE24EF">
      <w:pPr>
        <w:numPr>
          <w:ilvl w:val="0"/>
          <w:numId w:val="8"/>
        </w:numPr>
        <w:jc w:val="both"/>
      </w:pPr>
      <w:r w:rsidRPr="00CE24EF">
        <w:t>Agencia Española de Protección de Datos (AEPD). (2021). Guía sobre la protección de datos en el sector sanitario.</w:t>
      </w:r>
    </w:p>
    <w:p w14:paraId="1373F64B" w14:textId="77777777" w:rsidR="00CE24EF" w:rsidRDefault="00CE24EF" w:rsidP="005E0144">
      <w:pPr>
        <w:jc w:val="both"/>
      </w:pPr>
    </w:p>
    <w:p w14:paraId="672F098D" w14:textId="77777777" w:rsidR="00CE24EF" w:rsidRDefault="00CE24EF" w:rsidP="005E0144">
      <w:pPr>
        <w:jc w:val="both"/>
      </w:pPr>
    </w:p>
    <w:p w14:paraId="788C9CD7" w14:textId="77777777" w:rsidR="00CE24EF" w:rsidRDefault="00CE24EF" w:rsidP="005E0144">
      <w:pPr>
        <w:jc w:val="both"/>
      </w:pPr>
    </w:p>
    <w:p w14:paraId="099985C3" w14:textId="77777777" w:rsidR="00CE24EF" w:rsidRDefault="00CE24EF" w:rsidP="005E0144">
      <w:pPr>
        <w:jc w:val="both"/>
      </w:pPr>
    </w:p>
    <w:p w14:paraId="4D89446F" w14:textId="77777777" w:rsidR="00CE24EF" w:rsidRDefault="00CE24EF" w:rsidP="005E0144">
      <w:pPr>
        <w:jc w:val="both"/>
      </w:pPr>
    </w:p>
    <w:p w14:paraId="4A9E5C3F" w14:textId="77777777" w:rsidR="00CE24EF" w:rsidRDefault="00CE24EF" w:rsidP="005E0144">
      <w:pPr>
        <w:jc w:val="both"/>
      </w:pPr>
    </w:p>
    <w:p w14:paraId="745B6D55" w14:textId="77777777" w:rsidR="00CE24EF" w:rsidRDefault="00CE24EF" w:rsidP="00CE24EF">
      <w:pPr>
        <w:jc w:val="both"/>
      </w:pPr>
    </w:p>
    <w:p w14:paraId="2D069D2F" w14:textId="40220660" w:rsidR="00CE24EF" w:rsidRPr="00CE24EF" w:rsidRDefault="00CE24EF" w:rsidP="00CE24EF">
      <w:pPr>
        <w:jc w:val="both"/>
        <w:rPr>
          <w:b/>
          <w:bCs/>
        </w:rPr>
      </w:pPr>
      <w:r w:rsidRPr="00CE24EF">
        <w:rPr>
          <w:b/>
          <w:bCs/>
        </w:rPr>
        <w:lastRenderedPageBreak/>
        <w:t xml:space="preserve"> EL USO DE PANTALLAS EN EL ÁMBITO HOSPITALARIO</w:t>
      </w:r>
    </w:p>
    <w:p w14:paraId="71C8CD04" w14:textId="77777777" w:rsidR="00CE24EF" w:rsidRPr="00CE24EF" w:rsidRDefault="00CE24EF" w:rsidP="00CE24EF">
      <w:pPr>
        <w:jc w:val="both"/>
      </w:pPr>
      <w:r w:rsidRPr="00CE24EF">
        <w:t xml:space="preserve">En las últimas décadas, la digitalización del sistema sanitario ha supuesto una transformación significativa en la organización y prestación de los servicios de salud. El uso de pantallas de visualización de datos (ordenadores, </w:t>
      </w:r>
      <w:proofErr w:type="spellStart"/>
      <w:r w:rsidRPr="00CE24EF">
        <w:t>tablets</w:t>
      </w:r>
      <w:proofErr w:type="spellEnd"/>
      <w:r w:rsidRPr="00CE24EF">
        <w:t xml:space="preserve"> y dispositivos móviles) es hoy indispensable tanto para el personal sanitario como para el no sanitario (administrativos, celadores, técnicos, etc.). Sin embargo, este avance tecnológico conlleva también implicaciones relevantes para la salud laboral y la calidad asistencial.</w:t>
      </w:r>
    </w:p>
    <w:p w14:paraId="3F6E1474" w14:textId="77777777" w:rsidR="00CE24EF" w:rsidRPr="00CE24EF" w:rsidRDefault="00CE24EF" w:rsidP="00CE24EF">
      <w:pPr>
        <w:jc w:val="both"/>
      </w:pPr>
      <w:r w:rsidRPr="00CE24EF">
        <w:t>En primer lugar, es importante destacar que las pantallas facilitan múltiples funciones clave en el entorno hospitalario. Permiten el acceso inmediato a historias clínicas electrónicas, la gestión de pruebas diagnósticas, la prescripción electrónica y la comunicación entre profesionales. Esto contribuye a mejorar la eficiencia, reducir errores y optimizar la toma de decisiones clínicas. Asimismo, el personal no sanitario depende de estos dispositivos para tareas administrativas, gestión de citas y coordinación de recursos.</w:t>
      </w:r>
    </w:p>
    <w:p w14:paraId="7D1385AC" w14:textId="77777777" w:rsidR="00CE24EF" w:rsidRPr="00CE24EF" w:rsidRDefault="00CE24EF" w:rsidP="00CE24EF">
      <w:pPr>
        <w:jc w:val="both"/>
      </w:pPr>
      <w:r w:rsidRPr="00CE24EF">
        <w:t xml:space="preserve">No obstante, el uso prolongado de pantallas también se asocia a diversos efectos negativos. En el ámbito físico, uno de los problemas más frecuentes es la fatiga visual, caracterizada por sequedad ocular, visión borrosa y cefaleas. La exposición continuada a dispositivos digitales puede generar además trastornos musculo esqueléticos, especialmente en cuello, hombros y espalda, debido a posturas inadecuadas mantenidas durante largos periodos. </w:t>
      </w:r>
    </w:p>
    <w:p w14:paraId="70FC0806" w14:textId="77777777" w:rsidR="00CE24EF" w:rsidRPr="00CE24EF" w:rsidRDefault="00CE24EF" w:rsidP="00CE24EF">
      <w:pPr>
        <w:jc w:val="both"/>
      </w:pPr>
      <w:r w:rsidRPr="00CE24EF">
        <w:t xml:space="preserve">En cuanto a la salud mental, diversos estudios han evidenciado que el uso intensivo de pantallas puede incrementar los niveles de estrés, ansiedad y fatiga mental en los profesionales sanitarios. Esto se relaciona con la sobrecarga de información, la presión asistencial y la necesidad de atención constante a sistemas informáticos. A largo plazo, estos factores pueden contribuir al síndrome de burnout, afectando tanto al bienestar del trabajador como a la calidad de la atención al paciente. </w:t>
      </w:r>
    </w:p>
    <w:p w14:paraId="0FCCC7CB" w14:textId="77777777" w:rsidR="00CE24EF" w:rsidRPr="00CE24EF" w:rsidRDefault="00CE24EF" w:rsidP="00CE24EF">
      <w:pPr>
        <w:jc w:val="both"/>
      </w:pPr>
      <w:r w:rsidRPr="00CE24EF">
        <w:t>Por otro lado, el personal no sanitario, especialmente el administrativo, presenta riesgos específicos derivados del uso intensivo de pantallas. Entre ellos destacan los riesgos ergonómicos, visuales y psicosociales, así como problemas organizativos relacionados con la carga de trabajo y la repetitividad de tareas. Estas condiciones pueden derivar en disminución del rendimiento laboral, absentismo y mayor probabilidad de errores en la gestión de la información.</w:t>
      </w:r>
    </w:p>
    <w:p w14:paraId="3E1962BB" w14:textId="77777777" w:rsidR="00CE24EF" w:rsidRPr="00CE24EF" w:rsidRDefault="00CE24EF" w:rsidP="00CE24EF">
      <w:pPr>
        <w:jc w:val="both"/>
      </w:pPr>
      <w:r w:rsidRPr="00CE24EF">
        <w:t xml:space="preserve">Además, el impacto del uso de pantallas no solo afecta al trabajador, sino también a la calidad asistencial. La fatiga visual y cognitiva puede disminuir la capacidad de concentración, afectando la precisión en el registro de datos clínicos y en la toma de decisiones. Esto puede tener consecuencias directas en la seguridad del paciente. </w:t>
      </w:r>
    </w:p>
    <w:p w14:paraId="6EED6B4F" w14:textId="77777777" w:rsidR="00CE24EF" w:rsidRPr="00CE24EF" w:rsidRDefault="00CE24EF" w:rsidP="00CE24EF">
      <w:pPr>
        <w:jc w:val="both"/>
      </w:pPr>
      <w:r w:rsidRPr="00CE24EF">
        <w:lastRenderedPageBreak/>
        <w:t>Ante esta situación, es fundamental implementar estrategias preventivas. Entre las principales recomendaciones se incluyen la adaptación ergonómica del puesto de trabajo (altura de la pantalla, iluminación adecuada, sillas ergonómicas), la realización de pausas periódicas y la aplicación de la regla 20-20-20 (descansar la vista cada 20 minutos mirando a 20 pies durante 20 segundos). Asimismo, es importante fomentar la formación en el uso saludable de las tecnologías y promover hábitos de autocuidado entre los profesionales.</w:t>
      </w:r>
    </w:p>
    <w:p w14:paraId="253AAB90" w14:textId="77777777" w:rsidR="00CE24EF" w:rsidRPr="00CE24EF" w:rsidRDefault="00CE24EF" w:rsidP="00CE24EF">
      <w:pPr>
        <w:jc w:val="both"/>
      </w:pPr>
      <w:r w:rsidRPr="00CE24EF">
        <w:t>Conclusión</w:t>
      </w:r>
    </w:p>
    <w:p w14:paraId="56D48283" w14:textId="77777777" w:rsidR="00CE24EF" w:rsidRPr="00CE24EF" w:rsidRDefault="00CE24EF" w:rsidP="00CE24EF">
      <w:pPr>
        <w:jc w:val="both"/>
      </w:pPr>
      <w:r w:rsidRPr="00CE24EF">
        <w:t xml:space="preserve"> El uso de pantallas en el ámbito hospitalario es imprescindible para el funcionamiento del sistema sanitario moderno, pero conlleva riesgos significativos para la salud física y mental del personal sanitario y no sanitario. La adopción de medidas preventivas y una adecuada gestión del entorno laboral son esenciales para garantizar el bienestar de los trabajadores y mantener una atención de calidad.</w:t>
      </w:r>
    </w:p>
    <w:p w14:paraId="319FB535" w14:textId="77777777" w:rsidR="00CE24EF" w:rsidRPr="00CE24EF" w:rsidRDefault="00CE24EF" w:rsidP="00CE24EF">
      <w:pPr>
        <w:jc w:val="both"/>
      </w:pPr>
      <w:r w:rsidRPr="00CE24EF">
        <w:t>Bibliografía</w:t>
      </w:r>
    </w:p>
    <w:p w14:paraId="56F76F05" w14:textId="77777777" w:rsidR="00CE24EF" w:rsidRPr="00CE24EF" w:rsidRDefault="00CE24EF" w:rsidP="00CE24EF">
      <w:pPr>
        <w:jc w:val="both"/>
      </w:pPr>
      <w:r w:rsidRPr="00CE24EF">
        <w:t xml:space="preserve">1. Clavería Blasco, V. M., et al. (2024). El impacto del uso continuado de pantallas en el personal de centros sanitarios. Revista </w:t>
      </w:r>
      <w:proofErr w:type="spellStart"/>
      <w:r w:rsidRPr="00CE24EF">
        <w:t>Ocronos</w:t>
      </w:r>
      <w:proofErr w:type="spellEnd"/>
      <w:r w:rsidRPr="00CE24EF">
        <w:t xml:space="preserve">. </w:t>
      </w:r>
    </w:p>
    <w:p w14:paraId="6D6AF891" w14:textId="77777777" w:rsidR="00CE24EF" w:rsidRPr="00CE24EF" w:rsidRDefault="00CE24EF" w:rsidP="00CE24EF">
      <w:pPr>
        <w:jc w:val="both"/>
      </w:pPr>
      <w:r w:rsidRPr="00CE24EF">
        <w:t xml:space="preserve">2, Fernández </w:t>
      </w:r>
      <w:proofErr w:type="spellStart"/>
      <w:r w:rsidRPr="00CE24EF">
        <w:t>Fernández</w:t>
      </w:r>
      <w:proofErr w:type="spellEnd"/>
      <w:r w:rsidRPr="00CE24EF">
        <w:t xml:space="preserve">, P., &amp; Rodríguez </w:t>
      </w:r>
      <w:proofErr w:type="spellStart"/>
      <w:r w:rsidRPr="00CE24EF">
        <w:t>Rodríguez</w:t>
      </w:r>
      <w:proofErr w:type="spellEnd"/>
      <w:r w:rsidRPr="00CE24EF">
        <w:t>, M. C. (2025</w:t>
      </w:r>
      <w:proofErr w:type="gramStart"/>
      <w:r w:rsidRPr="00CE24EF">
        <w:t>).Riesgos</w:t>
      </w:r>
      <w:proofErr w:type="gramEnd"/>
      <w:r w:rsidRPr="00CE24EF">
        <w:t xml:space="preserve"> del personal administrativo sanitario por el uso de pantallas de visualización de datos. Revista </w:t>
      </w:r>
      <w:proofErr w:type="spellStart"/>
      <w:r w:rsidRPr="00CE24EF">
        <w:t>Ocronos</w:t>
      </w:r>
      <w:proofErr w:type="spellEnd"/>
      <w:r w:rsidRPr="00CE24EF">
        <w:t xml:space="preserve">. 3, Vicente Ruano, C. A., et al. (2024). *Impacto de la exposición prolongada a pantallas en la salud visual*. Revista </w:t>
      </w:r>
      <w:proofErr w:type="spellStart"/>
      <w:r w:rsidRPr="00CE24EF">
        <w:t>Ocronos</w:t>
      </w:r>
      <w:proofErr w:type="spellEnd"/>
      <w:r w:rsidRPr="00CE24EF">
        <w:t xml:space="preserve">. </w:t>
      </w:r>
    </w:p>
    <w:p w14:paraId="16921AD2" w14:textId="3BCEC624" w:rsidR="00CE24EF" w:rsidRDefault="00CE24EF" w:rsidP="00CE24EF">
      <w:pPr>
        <w:jc w:val="both"/>
      </w:pPr>
      <w:r w:rsidRPr="00CE24EF">
        <w:t xml:space="preserve">4.  Campos Boto, M. (2025). *Impacto del uso prolongado de pantallas en la salud física y mental*. Revista </w:t>
      </w:r>
      <w:proofErr w:type="spellStart"/>
      <w:r w:rsidRPr="00CE24EF">
        <w:t>Ocronos</w:t>
      </w:r>
      <w:proofErr w:type="spellEnd"/>
      <w:r w:rsidRPr="00CE24EF">
        <w:t>.</w:t>
      </w:r>
    </w:p>
    <w:p w14:paraId="178CCADB" w14:textId="77777777" w:rsidR="00CE24EF" w:rsidRDefault="00CE24EF" w:rsidP="00CE24EF">
      <w:pPr>
        <w:jc w:val="both"/>
      </w:pPr>
    </w:p>
    <w:p w14:paraId="6091FAFC" w14:textId="77777777" w:rsidR="00CE24EF" w:rsidRDefault="00CE24EF" w:rsidP="00CE24EF">
      <w:pPr>
        <w:jc w:val="both"/>
      </w:pPr>
    </w:p>
    <w:p w14:paraId="1F018EDF" w14:textId="77777777" w:rsidR="00CE24EF" w:rsidRDefault="00CE24EF" w:rsidP="00CE24EF">
      <w:pPr>
        <w:jc w:val="both"/>
      </w:pPr>
    </w:p>
    <w:p w14:paraId="449C42FC" w14:textId="77777777" w:rsidR="00CE24EF" w:rsidRDefault="00CE24EF" w:rsidP="00CE24EF">
      <w:pPr>
        <w:jc w:val="both"/>
      </w:pPr>
    </w:p>
    <w:p w14:paraId="7AD19024" w14:textId="77777777" w:rsidR="00CE24EF" w:rsidRDefault="00CE24EF" w:rsidP="00CE24EF">
      <w:pPr>
        <w:jc w:val="both"/>
      </w:pPr>
    </w:p>
    <w:p w14:paraId="3F795588" w14:textId="77777777" w:rsidR="00CE24EF" w:rsidRDefault="00CE24EF" w:rsidP="00CE24EF">
      <w:pPr>
        <w:jc w:val="both"/>
      </w:pPr>
    </w:p>
    <w:p w14:paraId="37182F47" w14:textId="77777777" w:rsidR="00CE24EF" w:rsidRDefault="00CE24EF" w:rsidP="00CE24EF">
      <w:pPr>
        <w:jc w:val="both"/>
      </w:pPr>
    </w:p>
    <w:p w14:paraId="1DDFBD88" w14:textId="77777777" w:rsidR="00CE24EF" w:rsidRDefault="00CE24EF" w:rsidP="00CE24EF">
      <w:pPr>
        <w:jc w:val="both"/>
      </w:pPr>
    </w:p>
    <w:p w14:paraId="0A4D4001" w14:textId="77777777" w:rsidR="00CE24EF" w:rsidRDefault="00CE24EF" w:rsidP="00CE24EF">
      <w:pPr>
        <w:jc w:val="both"/>
      </w:pPr>
    </w:p>
    <w:p w14:paraId="34FB0A08" w14:textId="77777777" w:rsidR="00CE24EF" w:rsidRDefault="00CE24EF" w:rsidP="00CE24EF">
      <w:pPr>
        <w:jc w:val="both"/>
      </w:pPr>
    </w:p>
    <w:p w14:paraId="66B47328" w14:textId="77777777" w:rsidR="00CE24EF" w:rsidRDefault="00CE24EF" w:rsidP="00CE24EF">
      <w:pPr>
        <w:jc w:val="both"/>
      </w:pPr>
    </w:p>
    <w:p w14:paraId="1ECA843B" w14:textId="7D0BB2E4" w:rsidR="00CE24EF" w:rsidRPr="00CE24EF" w:rsidRDefault="00CE24EF" w:rsidP="00CE24EF">
      <w:pPr>
        <w:jc w:val="both"/>
      </w:pPr>
      <w:r w:rsidRPr="00CE24EF">
        <w:rPr>
          <w:b/>
        </w:rPr>
        <w:lastRenderedPageBreak/>
        <w:t>PREVENCIÓN DE LA VIOLENCIA VERBAL EN ENTORNO SANITARIO</w:t>
      </w:r>
      <w:r>
        <w:rPr>
          <w:b/>
        </w:rPr>
        <w:t xml:space="preserve">: </w:t>
      </w:r>
      <w:r w:rsidRPr="00CE24EF">
        <w:rPr>
          <w:b/>
        </w:rPr>
        <w:t>ESTRATEGIAS PARA PERSONAL SANITARIO Y NO SANITARIO Y AUXILIARES ADMINISTRATIVO</w:t>
      </w:r>
    </w:p>
    <w:p w14:paraId="5A3F905E" w14:textId="77777777" w:rsidR="00CE24EF" w:rsidRPr="00CE24EF" w:rsidRDefault="00CE24EF" w:rsidP="00CE24EF">
      <w:pPr>
        <w:jc w:val="both"/>
      </w:pPr>
      <w:r w:rsidRPr="00CE24EF">
        <w:t>La violencia verbal en el ámbito sanitario constituye un problema creciente que afecta tanto al personal sanitario (médicos, enfermería) como al personal no sanitario y auxiliares administrativos. Este tipo de violencia incluye insultos, amenazas, gritos, lenguaje ofensivo o actitudes intimidatorias por parte de pacientes, familiares o acompañantes. Aunque no deja huellas físicas visibles, sus consecuencias psicológicas, emocionales y laborales pueden ser profundas, generando estrés, ansiedad, desmotivación e incluso abandono del puesto de trabajo.</w:t>
      </w:r>
    </w:p>
    <w:p w14:paraId="5392442F" w14:textId="77777777" w:rsidR="00CE24EF" w:rsidRPr="00CE24EF" w:rsidRDefault="00CE24EF" w:rsidP="00CE24EF">
      <w:pPr>
        <w:jc w:val="both"/>
      </w:pPr>
      <w:r w:rsidRPr="00CE24EF">
        <w:t>Uno de los factores que contribuyen a la aparición de violencia verbal es la alta carga emocional presente en los centros sanitarios. Los pacientes y sus familiares suelen encontrarse en situaciones de vulnerabilidad, dolor o incertidumbre, lo que puede desencadenar reacciones agresivas. Asimismo, factores organizativos como largas esperas, sobrecarga asistencial o falta de información clara pueden aumentar la frustración del usuario.</w:t>
      </w:r>
    </w:p>
    <w:p w14:paraId="2D4E9757" w14:textId="77777777" w:rsidR="00CE24EF" w:rsidRPr="00CE24EF" w:rsidRDefault="00CE24EF" w:rsidP="00CE24EF">
      <w:pPr>
        <w:jc w:val="both"/>
      </w:pPr>
      <w:r w:rsidRPr="00CE24EF">
        <w:t>La prevención de la violencia verbal requiere un enfoque integral que combine medidas organizativas, formación del personal y protocolos de actuación. En primer lugar, es fundamental que las instituciones sanitarias desarrollen políticas claras de “tolerancia cero” frente a cualquier forma de violencia. Estas políticas deben ser conocidas por todo el personal y también comunicadas a los usuarios mediante carteles visibles o campañas informativas.</w:t>
      </w:r>
    </w:p>
    <w:p w14:paraId="3B10BD65" w14:textId="77777777" w:rsidR="00CE24EF" w:rsidRPr="00CE24EF" w:rsidRDefault="00CE24EF" w:rsidP="00CE24EF">
      <w:pPr>
        <w:jc w:val="both"/>
      </w:pPr>
      <w:r w:rsidRPr="00CE24EF">
        <w:t xml:space="preserve">La formación en habilidades de comunicación es una herramienta clave. Todo el personal, incluyendo auxiliares administrativos y personal no sanitario, debe recibir formación en técnicas de comunicación asertiva, escucha activa y manejo de conflictos. La capacidad de mantener la calma, empatizar con el usuario y responder de forma profesional puede ayudar a </w:t>
      </w:r>
      <w:proofErr w:type="spellStart"/>
      <w:r w:rsidRPr="00CE24EF">
        <w:t>desescalar</w:t>
      </w:r>
      <w:proofErr w:type="spellEnd"/>
      <w:r w:rsidRPr="00CE24EF">
        <w:t xml:space="preserve"> situaciones tensas antes de que se conviertan en agresiones verbales.</w:t>
      </w:r>
    </w:p>
    <w:p w14:paraId="0C3EAEE6" w14:textId="77777777" w:rsidR="00CE24EF" w:rsidRPr="00CE24EF" w:rsidRDefault="00CE24EF" w:rsidP="00CE24EF">
      <w:pPr>
        <w:jc w:val="both"/>
      </w:pPr>
      <w:r w:rsidRPr="00CE24EF">
        <w:t>Además, es importante fomentar el trabajo en equipo y el apoyo entre compañeros. La coordinación interna permite detectar situaciones de riesgo y actuar de forma conjunta. Por ejemplo, ante un usuario alterado, el personal puede apoyarse mutuamente para evitar que una sola persona enfrente la situación. La presencia de más de un trabajador suele tener un efecto disuasorio.</w:t>
      </w:r>
    </w:p>
    <w:p w14:paraId="5BC873E9" w14:textId="77777777" w:rsidR="00CE24EF" w:rsidRPr="00CE24EF" w:rsidRDefault="00CE24EF" w:rsidP="00CE24EF">
      <w:pPr>
        <w:jc w:val="both"/>
      </w:pPr>
      <w:r w:rsidRPr="00CE24EF">
        <w:t xml:space="preserve">Los auxiliares administrativos, que a menudo son el primer punto de contacto con el usuario, desempeñan un papel especialmente relevante. Su labor en la gestión de citas, información y atención al público los expone a situaciones de tensión. Por ello, es esencial dotarlos de herramientas específicas para manejar reclamaciones, </w:t>
      </w:r>
      <w:r w:rsidRPr="00CE24EF">
        <w:lastRenderedPageBreak/>
        <w:t>establecer límites y derivar situaciones conflictivas a superiores o personal de seguridad cuando sea necesario.</w:t>
      </w:r>
    </w:p>
    <w:p w14:paraId="3413A0FD" w14:textId="77777777" w:rsidR="00CE24EF" w:rsidRPr="00CE24EF" w:rsidRDefault="00CE24EF" w:rsidP="00CE24EF">
      <w:pPr>
        <w:jc w:val="both"/>
      </w:pPr>
      <w:r w:rsidRPr="00CE24EF">
        <w:t>El diseño del entorno también influye en la prevención. Espacios bien organizados, señalización clara y sistemas de información accesibles pueden reducir la frustración del usuario. Asimismo, la implementación de medidas de seguridad como cámaras, botones de alarma o presencia de personal de seguridad contribuye a generar un entorno más seguro.</w:t>
      </w:r>
    </w:p>
    <w:p w14:paraId="7013E099" w14:textId="77777777" w:rsidR="00CE24EF" w:rsidRPr="00CE24EF" w:rsidRDefault="00CE24EF" w:rsidP="00CE24EF">
      <w:pPr>
        <w:jc w:val="both"/>
      </w:pPr>
      <w:r w:rsidRPr="00CE24EF">
        <w:t>Por otro lado, es fundamental que existan protocolos de actuación ante incidentes de violencia verbal. Estos deben incluir procedimientos para registrar y notificar los incidentes, así como apoyo psicológico para los trabajadores afectados. La notificación es clave para dimensionar el problema y diseñar estrategias de mejora.</w:t>
      </w:r>
    </w:p>
    <w:p w14:paraId="459C53DA" w14:textId="77777777" w:rsidR="00CE24EF" w:rsidRPr="00CE24EF" w:rsidRDefault="00CE24EF" w:rsidP="00CE24EF">
      <w:pPr>
        <w:jc w:val="both"/>
      </w:pPr>
      <w:r w:rsidRPr="00CE24EF">
        <w:t>Finalmente, la sensibilización social es un aspecto importante. Promover el respeto hacia los profesionales sanitarios mediante campañas públicas puede contribuir a cambiar actitudes y reducir la normalización de la violencia verbal.</w:t>
      </w:r>
    </w:p>
    <w:p w14:paraId="1949BF38" w14:textId="77777777" w:rsidR="00CE24EF" w:rsidRPr="00CE24EF" w:rsidRDefault="00CE24EF" w:rsidP="00CE24EF">
      <w:pPr>
        <w:jc w:val="both"/>
      </w:pPr>
      <w:proofErr w:type="spellStart"/>
      <w:r w:rsidRPr="00CE24EF">
        <w:rPr>
          <w:b/>
        </w:rPr>
        <w:t>Conclusion</w:t>
      </w:r>
      <w:proofErr w:type="spellEnd"/>
    </w:p>
    <w:p w14:paraId="3D3985D6" w14:textId="77777777" w:rsidR="00CE24EF" w:rsidRPr="00CE24EF" w:rsidRDefault="00CE24EF" w:rsidP="00CE24EF">
      <w:pPr>
        <w:jc w:val="both"/>
      </w:pPr>
      <w:r w:rsidRPr="00CE24EF">
        <w:t xml:space="preserve"> La prevención de la violencia verbal en el ámbito sanitario requiere el compromiso de las instituciones, la formación del personal y la colaboración de la sociedad. Proteger a los trabajadores no solo mejora su bienestar, sino que también repercute en la calidad de la atención prestada a los pacientes.</w:t>
      </w:r>
    </w:p>
    <w:p w14:paraId="62D028F3" w14:textId="77777777" w:rsidR="00CE24EF" w:rsidRPr="00CE24EF" w:rsidRDefault="00CE24EF" w:rsidP="00CE24EF">
      <w:pPr>
        <w:jc w:val="both"/>
      </w:pPr>
      <w:r w:rsidRPr="00CE24EF">
        <w:rPr>
          <w:b/>
        </w:rPr>
        <w:t>Bibliografía</w:t>
      </w:r>
    </w:p>
    <w:p w14:paraId="66BFD3AF" w14:textId="77777777" w:rsidR="00CE24EF" w:rsidRPr="00CE24EF" w:rsidRDefault="00CE24EF" w:rsidP="00CE24EF">
      <w:pPr>
        <w:numPr>
          <w:ilvl w:val="0"/>
          <w:numId w:val="9"/>
        </w:numPr>
        <w:jc w:val="both"/>
        <w:rPr>
          <w:lang w:val="en-GB"/>
        </w:rPr>
      </w:pPr>
      <w:r w:rsidRPr="00CE24EF">
        <w:t xml:space="preserve">Organización Mundial de la Salud (OMS). </w:t>
      </w:r>
      <w:r w:rsidRPr="00CE24EF">
        <w:rPr>
          <w:lang w:val="en-GB"/>
        </w:rPr>
        <w:t>(2010). Framework guidelines for addressing workplace violence in the health sector.</w:t>
      </w:r>
    </w:p>
    <w:p w14:paraId="6828BF82" w14:textId="77777777" w:rsidR="00CE24EF" w:rsidRPr="00CE24EF" w:rsidRDefault="00CE24EF" w:rsidP="00CE24EF">
      <w:pPr>
        <w:numPr>
          <w:ilvl w:val="0"/>
          <w:numId w:val="9"/>
        </w:numPr>
        <w:jc w:val="both"/>
      </w:pPr>
      <w:r w:rsidRPr="00CE24EF">
        <w:t>Ministerio de Sanidad, España. (2017). Plan de prevención de las agresiones a los profesionales del Sistema Nacional de Salud.</w:t>
      </w:r>
    </w:p>
    <w:p w14:paraId="7E47BD62" w14:textId="77777777" w:rsidR="00CE24EF" w:rsidRPr="00CE24EF" w:rsidRDefault="00CE24EF" w:rsidP="00CE24EF">
      <w:pPr>
        <w:numPr>
          <w:ilvl w:val="0"/>
          <w:numId w:val="9"/>
        </w:numPr>
        <w:jc w:val="both"/>
        <w:rPr>
          <w:lang w:val="en-GB"/>
        </w:rPr>
      </w:pPr>
      <w:r w:rsidRPr="00CE24EF">
        <w:rPr>
          <w:lang w:val="en-GB"/>
        </w:rPr>
        <w:t>International Labour Organization (ILO). (2002). Workplace violence in the health sector: Country case studies</w:t>
      </w:r>
    </w:p>
    <w:p w14:paraId="21394CAB" w14:textId="77777777" w:rsidR="00CE24EF" w:rsidRPr="00CE24EF" w:rsidRDefault="00CE24EF" w:rsidP="00CE24EF">
      <w:pPr>
        <w:numPr>
          <w:ilvl w:val="0"/>
          <w:numId w:val="9"/>
        </w:numPr>
        <w:jc w:val="both"/>
      </w:pPr>
      <w:r w:rsidRPr="00CE24EF">
        <w:t>Martínez-Jarreta, B., et al. (2007). Agresiones a profesionales sanitarios en España: revisión”. *Revista Española de Salud Pública.</w:t>
      </w:r>
    </w:p>
    <w:p w14:paraId="2E3EFD89" w14:textId="77777777" w:rsidR="00CE24EF" w:rsidRPr="00CE24EF" w:rsidRDefault="00CE24EF" w:rsidP="00CE24EF">
      <w:pPr>
        <w:numPr>
          <w:ilvl w:val="0"/>
          <w:numId w:val="9"/>
        </w:numPr>
        <w:jc w:val="both"/>
      </w:pPr>
      <w:r w:rsidRPr="00CE24EF">
        <w:t>Consejo General de Enfermería. (2019). Informe sobre agresiones a profesionales de enfermería en España.</w:t>
      </w:r>
    </w:p>
    <w:p w14:paraId="6A28082F" w14:textId="77777777" w:rsidR="00CE24EF" w:rsidRDefault="00CE24EF" w:rsidP="00CE24EF">
      <w:pPr>
        <w:jc w:val="both"/>
      </w:pPr>
    </w:p>
    <w:p w14:paraId="2D1087B1" w14:textId="77777777" w:rsidR="00CE24EF" w:rsidRDefault="00CE24EF" w:rsidP="00CE24EF">
      <w:pPr>
        <w:jc w:val="both"/>
      </w:pPr>
    </w:p>
    <w:p w14:paraId="1BDB3D11" w14:textId="77777777" w:rsidR="00CE24EF" w:rsidRDefault="00CE24EF" w:rsidP="00CE24EF">
      <w:pPr>
        <w:jc w:val="both"/>
      </w:pPr>
    </w:p>
    <w:p w14:paraId="74EFF567" w14:textId="77777777" w:rsidR="00CE24EF" w:rsidRDefault="00CE24EF" w:rsidP="00CE24EF">
      <w:pPr>
        <w:jc w:val="both"/>
      </w:pPr>
    </w:p>
    <w:p w14:paraId="697056DD" w14:textId="77777777" w:rsidR="00CE24EF" w:rsidRPr="00CE24EF" w:rsidRDefault="00CE24EF" w:rsidP="00CE24EF">
      <w:pPr>
        <w:jc w:val="both"/>
      </w:pPr>
      <w:r w:rsidRPr="00CE24EF">
        <w:rPr>
          <w:b/>
        </w:rPr>
        <w:lastRenderedPageBreak/>
        <w:t xml:space="preserve">CÓMO ACTUAR FRENTE AL </w:t>
      </w:r>
      <w:proofErr w:type="gramStart"/>
      <w:r w:rsidRPr="00CE24EF">
        <w:rPr>
          <w:b/>
        </w:rPr>
        <w:t>MOBBING</w:t>
      </w:r>
      <w:proofErr w:type="gramEnd"/>
      <w:r w:rsidRPr="00CE24EF">
        <w:rPr>
          <w:b/>
        </w:rPr>
        <w:t xml:space="preserve"> EN EL ÁMBITO SANITARIO PARA PERSONAL SANITARIO Y NO SANITARIO</w:t>
      </w:r>
    </w:p>
    <w:p w14:paraId="15C15CF1" w14:textId="77777777" w:rsidR="00CE24EF" w:rsidRPr="00CE24EF" w:rsidRDefault="00CE24EF" w:rsidP="00CE24EF">
      <w:pPr>
        <w:jc w:val="both"/>
      </w:pPr>
      <w:r w:rsidRPr="00CE24EF">
        <w:t xml:space="preserve">El </w:t>
      </w:r>
      <w:proofErr w:type="spellStart"/>
      <w:proofErr w:type="gramStart"/>
      <w:r w:rsidRPr="00CE24EF">
        <w:t>mobbing</w:t>
      </w:r>
      <w:proofErr w:type="spellEnd"/>
      <w:proofErr w:type="gramEnd"/>
      <w:r w:rsidRPr="00CE24EF">
        <w:t xml:space="preserve"> o acoso laboral constituye un problema creciente en el ámbito sanitario, donde las condiciones de trabajo, la presión asistencial y las jerarquías marcadas pueden favorecer la aparición de conductas hostiles. Este fenómeno afecta tanto al personal sanitario (médicos, enfermeros, auxiliares) como al no sanitario (administrativos, celadores, personal de limpieza), generando consecuencias negativas en la salud física y psicológica de los trabajadores, así como en la calidad asistencial.</w:t>
      </w:r>
    </w:p>
    <w:p w14:paraId="3617384F" w14:textId="77777777" w:rsidR="00CE24EF" w:rsidRPr="00CE24EF" w:rsidRDefault="00CE24EF" w:rsidP="00CE24EF">
      <w:pPr>
        <w:jc w:val="both"/>
      </w:pPr>
      <w:r w:rsidRPr="00CE24EF">
        <w:t xml:space="preserve">El </w:t>
      </w:r>
      <w:proofErr w:type="spellStart"/>
      <w:proofErr w:type="gramStart"/>
      <w:r w:rsidRPr="00CE24EF">
        <w:t>mobbing</w:t>
      </w:r>
      <w:proofErr w:type="spellEnd"/>
      <w:proofErr w:type="gramEnd"/>
      <w:r w:rsidRPr="00CE24EF">
        <w:t xml:space="preserve"> se caracteriza por conductas repetidas y prolongadas en el tiempo, como humillaciones, aislamiento, descalificación profesional o sobrecarga injustificada de trabajo. Estas acciones buscan desestabilizar a la víctima y, en muchos casos, forzar su abandono del puesto laboral. Identificar estas conductas es el primer paso para actuar de manera eficaz.</w:t>
      </w:r>
    </w:p>
    <w:p w14:paraId="33D7EF5D" w14:textId="77777777" w:rsidR="00CE24EF" w:rsidRPr="00CE24EF" w:rsidRDefault="00CE24EF" w:rsidP="00CE24EF">
      <w:pPr>
        <w:jc w:val="both"/>
      </w:pPr>
      <w:r w:rsidRPr="00CE24EF">
        <w:t>Ante una situación de acoso laboral, es fundamental que la persona afectada adopte una actitud activa y documente todos los hechos. Registrar fechas, descripciones de los incidentes, testigos y posibles pruebas (correos electrónicos, mensajes, informes) resulta clave para respaldar cualquier denuncia. Este registro debe ser detallado y mantenerse actualizado.</w:t>
      </w:r>
    </w:p>
    <w:p w14:paraId="7E069341" w14:textId="77777777" w:rsidR="00CE24EF" w:rsidRPr="00CE24EF" w:rsidRDefault="00CE24EF" w:rsidP="00CE24EF">
      <w:pPr>
        <w:jc w:val="both"/>
      </w:pPr>
      <w:r w:rsidRPr="00CE24EF">
        <w:t>En segundo lugar, se recomienda comunicar la situación a los superiores jerárquicos o a los departamentos de recursos humanos. En el ámbito sanitario, muchas instituciones cuentan con protocolos específicos frente al acoso laboral, comités de prevención de riesgos laborales o unidades de mediación. Activar estos mecanismos permite iniciar investigaciones internas y adoptar medidas correctivas.</w:t>
      </w:r>
    </w:p>
    <w:p w14:paraId="5D4C27F6" w14:textId="77777777" w:rsidR="00CE24EF" w:rsidRPr="00CE24EF" w:rsidRDefault="00CE24EF" w:rsidP="00CE24EF">
      <w:pPr>
        <w:jc w:val="both"/>
      </w:pPr>
      <w:r w:rsidRPr="00CE24EF">
        <w:t>Asimismo, el apoyo social es un elemento esencial. Compartir la situación con compañeros de confianza, familiares o representantes sindicales puede ayudar a reducir el impacto emocional y facilitar la toma de decisiones. Los sindicatos y colegios profesionales suelen ofrecer asesoramiento jurídico y acompañamiento en estos procesos.</w:t>
      </w:r>
    </w:p>
    <w:p w14:paraId="4DA5F23E" w14:textId="77777777" w:rsidR="00CE24EF" w:rsidRPr="00CE24EF" w:rsidRDefault="00CE24EF" w:rsidP="00CE24EF">
      <w:pPr>
        <w:jc w:val="both"/>
      </w:pPr>
      <w:r w:rsidRPr="00CE24EF">
        <w:t xml:space="preserve">Desde el punto de vista psicológico, el </w:t>
      </w:r>
      <w:proofErr w:type="spellStart"/>
      <w:proofErr w:type="gramStart"/>
      <w:r w:rsidRPr="00CE24EF">
        <w:t>mobbing</w:t>
      </w:r>
      <w:proofErr w:type="spellEnd"/>
      <w:proofErr w:type="gramEnd"/>
      <w:r w:rsidRPr="00CE24EF">
        <w:t xml:space="preserve"> puede provocar ansiedad, depresión, estrés crónico e incluso síndrome de burnout. Por ello, es recomendable buscar ayuda profesional, como psicólogos o servicios de salud laboral, para gestionar las emociones y fortalecer las estrategias de afrontamiento. El autocuidado, el descanso adecuado y la desconexión fuera del entorno laboral también son aspectos importantes.</w:t>
      </w:r>
    </w:p>
    <w:p w14:paraId="724B013F" w14:textId="77777777" w:rsidR="00CE24EF" w:rsidRPr="00CE24EF" w:rsidRDefault="00CE24EF" w:rsidP="00CE24EF">
      <w:pPr>
        <w:jc w:val="both"/>
      </w:pPr>
      <w:r w:rsidRPr="00CE24EF">
        <w:t xml:space="preserve">En casos en los que las vías internas no resultan eficaces, la víctima puede recurrir a instancias externas, como la inspección de trabajo o la vía judicial. En muchos </w:t>
      </w:r>
      <w:r w:rsidRPr="00CE24EF">
        <w:lastRenderedPageBreak/>
        <w:t>países, el acoso laboral está reconocido como una vulneración de derechos fundamentales, lo que permite exigir responsabilidades legales a la organización o a los agresores.</w:t>
      </w:r>
    </w:p>
    <w:p w14:paraId="427BCE17" w14:textId="77777777" w:rsidR="00CE24EF" w:rsidRPr="00CE24EF" w:rsidRDefault="00CE24EF" w:rsidP="00CE24EF">
      <w:pPr>
        <w:jc w:val="both"/>
      </w:pPr>
      <w:r w:rsidRPr="00CE24EF">
        <w:t xml:space="preserve">Por otro lado, las instituciones sanitarias tienen un papel clave en la prevención del </w:t>
      </w:r>
      <w:proofErr w:type="spellStart"/>
      <w:proofErr w:type="gramStart"/>
      <w:r w:rsidRPr="00CE24EF">
        <w:t>mobbing</w:t>
      </w:r>
      <w:proofErr w:type="spellEnd"/>
      <w:proofErr w:type="gramEnd"/>
      <w:r w:rsidRPr="00CE24EF">
        <w:t>. Es fundamental promover un clima laboral basado en el respeto, la comunicación y la equidad. La formación en habilidades sociales, liderazgo positivo y gestión de conflictos puede contribuir a reducir la incidencia de estas conductas. Además, la implementación de protocolos claros y accesibles facilita la detección temprana y la intervención eficaz.</w:t>
      </w:r>
    </w:p>
    <w:p w14:paraId="229E1A1B" w14:textId="77777777" w:rsidR="00CE24EF" w:rsidRPr="00CE24EF" w:rsidRDefault="00CE24EF" w:rsidP="00CE24EF">
      <w:pPr>
        <w:jc w:val="both"/>
        <w:rPr>
          <w:b/>
        </w:rPr>
      </w:pPr>
      <w:r w:rsidRPr="00CE24EF">
        <w:rPr>
          <w:b/>
        </w:rPr>
        <w:t xml:space="preserve"> </w:t>
      </w:r>
      <w:proofErr w:type="spellStart"/>
      <w:r w:rsidRPr="00CE24EF">
        <w:rPr>
          <w:b/>
        </w:rPr>
        <w:t>Conclusion</w:t>
      </w:r>
      <w:proofErr w:type="spellEnd"/>
    </w:p>
    <w:p w14:paraId="265C37CE" w14:textId="77777777" w:rsidR="00CE24EF" w:rsidRPr="00CE24EF" w:rsidRDefault="00CE24EF" w:rsidP="00CE24EF">
      <w:pPr>
        <w:jc w:val="both"/>
      </w:pPr>
      <w:proofErr w:type="gramStart"/>
      <w:r w:rsidRPr="00CE24EF">
        <w:t xml:space="preserve">El  </w:t>
      </w:r>
      <w:proofErr w:type="spellStart"/>
      <w:r w:rsidRPr="00CE24EF">
        <w:t>mobbing</w:t>
      </w:r>
      <w:proofErr w:type="spellEnd"/>
      <w:proofErr w:type="gramEnd"/>
      <w:r w:rsidRPr="00CE24EF">
        <w:t xml:space="preserve"> en el ámbito sanitario es un problema complejo que requiere una respuesta integral. La combinación de acciones individuales, apoyo institucional y medidas preventivas es esencial para proteger la salud de los trabajadores y garantizar un entorno laboral seguro y saludable. Actuar de manera temprana, informada y respaldada por recursos adecuados puede marcar la diferencia en la resolución de estas situaciones.</w:t>
      </w:r>
    </w:p>
    <w:p w14:paraId="3AD5A3F1" w14:textId="77777777" w:rsidR="00CE24EF" w:rsidRPr="00CE24EF" w:rsidRDefault="00CE24EF" w:rsidP="00CE24EF">
      <w:pPr>
        <w:jc w:val="both"/>
        <w:rPr>
          <w:b/>
        </w:rPr>
      </w:pPr>
      <w:r w:rsidRPr="00CE24EF">
        <w:rPr>
          <w:b/>
        </w:rPr>
        <w:t>Bibliografía</w:t>
      </w:r>
    </w:p>
    <w:p w14:paraId="30FF20AE" w14:textId="77777777" w:rsidR="00CE24EF" w:rsidRPr="00CE24EF" w:rsidRDefault="00CE24EF" w:rsidP="00CE24EF">
      <w:pPr>
        <w:jc w:val="both"/>
        <w:rPr>
          <w:lang w:val="en-GB"/>
        </w:rPr>
      </w:pPr>
      <w:r w:rsidRPr="00CE24EF">
        <w:rPr>
          <w:b/>
        </w:rPr>
        <w:t>.</w:t>
      </w:r>
      <w:r w:rsidRPr="00CE24EF">
        <w:t xml:space="preserve"> Einarsen, S., Hoel, H., Zapf, D., &amp; Cooper, C. L. (2011). </w:t>
      </w:r>
      <w:r w:rsidRPr="00CE24EF">
        <w:rPr>
          <w:lang w:val="en-GB"/>
        </w:rPr>
        <w:t>Bullying and harassment in the workplace: Developments in theory, research, and practice. CRC Press.</w:t>
      </w:r>
    </w:p>
    <w:p w14:paraId="46957BAB" w14:textId="77777777" w:rsidR="00CE24EF" w:rsidRPr="00CE24EF" w:rsidRDefault="00CE24EF" w:rsidP="00CE24EF">
      <w:pPr>
        <w:jc w:val="both"/>
        <w:rPr>
          <w:lang w:val="en-GB"/>
        </w:rPr>
      </w:pPr>
      <w:r w:rsidRPr="00CE24EF">
        <w:rPr>
          <w:b/>
          <w:lang w:val="en-GB"/>
        </w:rPr>
        <w:t>.</w:t>
      </w:r>
      <w:r w:rsidRPr="00CE24EF">
        <w:rPr>
          <w:lang w:val="en-GB"/>
        </w:rPr>
        <w:t xml:space="preserve"> Leymann, H. (1996). The content and development of mobbing at work. European Journal of Work and Organizational Psychology, 5(2), 165-184.</w:t>
      </w:r>
    </w:p>
    <w:p w14:paraId="6FB61B65" w14:textId="77777777" w:rsidR="00CE24EF" w:rsidRPr="00CE24EF" w:rsidRDefault="00CE24EF" w:rsidP="00CE24EF">
      <w:pPr>
        <w:jc w:val="both"/>
      </w:pPr>
      <w:r w:rsidRPr="00CE24EF">
        <w:rPr>
          <w:b/>
          <w:lang w:val="en-GB"/>
        </w:rPr>
        <w:t>.</w:t>
      </w:r>
      <w:r w:rsidRPr="00CE24EF">
        <w:rPr>
          <w:lang w:val="en-GB"/>
        </w:rPr>
        <w:t xml:space="preserve"> Organización Mundial de la Salud (OMS). </w:t>
      </w:r>
      <w:r w:rsidRPr="00CE24EF">
        <w:t>(2010). Entornos laborales saludables: fundamentos y modelo de la OMS</w:t>
      </w:r>
    </w:p>
    <w:p w14:paraId="3845EE73" w14:textId="77777777" w:rsidR="00CE24EF" w:rsidRPr="00CE24EF" w:rsidRDefault="00CE24EF" w:rsidP="00CE24EF">
      <w:pPr>
        <w:jc w:val="both"/>
      </w:pPr>
      <w:proofErr w:type="gramStart"/>
      <w:r w:rsidRPr="00CE24EF">
        <w:rPr>
          <w:b/>
        </w:rPr>
        <w:t>.</w:t>
      </w:r>
      <w:r w:rsidRPr="00CE24EF">
        <w:t>Instituto</w:t>
      </w:r>
      <w:proofErr w:type="gramEnd"/>
      <w:r w:rsidRPr="00CE24EF">
        <w:t xml:space="preserve"> Nacional de Seguridad y Salud en el Trabajo (INSST). (2019). Acoso psicológico en el trabajo.</w:t>
      </w:r>
    </w:p>
    <w:p w14:paraId="6DD975E2" w14:textId="77777777" w:rsidR="00CE24EF" w:rsidRPr="00CE24EF" w:rsidRDefault="00CE24EF" w:rsidP="00CE24EF">
      <w:pPr>
        <w:jc w:val="both"/>
      </w:pPr>
      <w:proofErr w:type="gramStart"/>
      <w:r w:rsidRPr="00CE24EF">
        <w:rPr>
          <w:b/>
        </w:rPr>
        <w:t>.</w:t>
      </w:r>
      <w:r w:rsidRPr="00CE24EF">
        <w:t>Hirigoyen</w:t>
      </w:r>
      <w:proofErr w:type="gramEnd"/>
      <w:r w:rsidRPr="00CE24EF">
        <w:t>, M. F. (2001). El acoso moral: El maltrato psicológico en la vida cotidiana. Paidós.</w:t>
      </w:r>
    </w:p>
    <w:p w14:paraId="6C58C241" w14:textId="77777777" w:rsidR="00CE24EF" w:rsidRDefault="00CE24EF" w:rsidP="00CE24EF">
      <w:pPr>
        <w:jc w:val="both"/>
      </w:pPr>
    </w:p>
    <w:p w14:paraId="19FA7924" w14:textId="77777777" w:rsidR="00CE24EF" w:rsidRDefault="00CE24EF" w:rsidP="00CE24EF">
      <w:pPr>
        <w:jc w:val="both"/>
      </w:pPr>
    </w:p>
    <w:p w14:paraId="3CB7FEEA" w14:textId="77777777" w:rsidR="00CE24EF" w:rsidRDefault="00CE24EF" w:rsidP="00CE24EF">
      <w:pPr>
        <w:jc w:val="both"/>
      </w:pPr>
    </w:p>
    <w:p w14:paraId="1F44CFE0" w14:textId="77777777" w:rsidR="00CE24EF" w:rsidRDefault="00CE24EF" w:rsidP="00CE24EF">
      <w:pPr>
        <w:jc w:val="both"/>
      </w:pPr>
    </w:p>
    <w:p w14:paraId="25076B32" w14:textId="77777777" w:rsidR="00CE24EF" w:rsidRDefault="00CE24EF" w:rsidP="00CE24EF">
      <w:pPr>
        <w:jc w:val="both"/>
      </w:pPr>
    </w:p>
    <w:p w14:paraId="553996BA" w14:textId="77777777" w:rsidR="00CE24EF" w:rsidRDefault="00CE24EF" w:rsidP="00CE24EF">
      <w:pPr>
        <w:jc w:val="both"/>
      </w:pPr>
    </w:p>
    <w:p w14:paraId="41E77C93" w14:textId="77777777" w:rsidR="00CE24EF" w:rsidRPr="00CE24EF" w:rsidRDefault="00CE24EF" w:rsidP="00CE24EF">
      <w:pPr>
        <w:jc w:val="both"/>
      </w:pPr>
      <w:r w:rsidRPr="00CE24EF">
        <w:rPr>
          <w:b/>
        </w:rPr>
        <w:lastRenderedPageBreak/>
        <w:t>Violencia de género: un problema de salud pública y derechos humanos</w:t>
      </w:r>
    </w:p>
    <w:p w14:paraId="68A2DB8E" w14:textId="77777777" w:rsidR="00CE24EF" w:rsidRPr="00CE24EF" w:rsidRDefault="00CE24EF" w:rsidP="00CE24EF">
      <w:pPr>
        <w:jc w:val="both"/>
        <w:rPr>
          <w:b/>
        </w:rPr>
      </w:pPr>
      <w:r w:rsidRPr="00CE24EF">
        <w:rPr>
          <w:b/>
        </w:rPr>
        <w:t>Introducción</w:t>
      </w:r>
    </w:p>
    <w:p w14:paraId="4ACDD3B7" w14:textId="77777777" w:rsidR="00CE24EF" w:rsidRPr="00CE24EF" w:rsidRDefault="00CE24EF" w:rsidP="00CE24EF">
      <w:pPr>
        <w:jc w:val="both"/>
      </w:pPr>
      <w:r w:rsidRPr="00CE24EF">
        <w:t>La violencia de género constituye uno de los principales problemas de salud pública y una grave vulneración de los derechos humanos. Se manifiesta mediante agresiones físicas, psicológicas, sexuales, económicas y simbólicas, afectando principalmente a las mujeres debido a las desigualdades estructurales entre hombres y mujeres. Según la Organización Mundial de la Salud (OMS), aproximadamente una de cada tres mujeres ha sufrido violencia física o sexual por parte de su pareja o de terceros a lo largo de su vida. Las consecuencias abarcan daños físicos, trastornos mentales, disminución de la calidad de vida e incluso la muerte, por lo que resulta indispensable fortalecer las estrategias de prevención, detección temprana y atención integral.</w:t>
      </w:r>
    </w:p>
    <w:p w14:paraId="553FFA5B" w14:textId="77777777" w:rsidR="00CE24EF" w:rsidRPr="00CE24EF" w:rsidRDefault="00CE24EF" w:rsidP="00CE24EF">
      <w:pPr>
        <w:jc w:val="both"/>
        <w:rPr>
          <w:b/>
        </w:rPr>
      </w:pPr>
      <w:r w:rsidRPr="00CE24EF">
        <w:rPr>
          <w:b/>
        </w:rPr>
        <w:t>Objetivo</w:t>
      </w:r>
    </w:p>
    <w:p w14:paraId="12745DF6" w14:textId="77777777" w:rsidR="00CE24EF" w:rsidRPr="00CE24EF" w:rsidRDefault="00CE24EF" w:rsidP="00CE24EF">
      <w:pPr>
        <w:jc w:val="both"/>
      </w:pPr>
      <w:r w:rsidRPr="00CE24EF">
        <w:t>Analizar la violencia de género como un problema de salud pública, identificando sus principales factores de riesgo, consecuencias y estrategias de prevención descritas en la literatura científica.</w:t>
      </w:r>
    </w:p>
    <w:p w14:paraId="1545653C" w14:textId="77777777" w:rsidR="00CE24EF" w:rsidRPr="00CE24EF" w:rsidRDefault="00CE24EF" w:rsidP="00CE24EF">
      <w:pPr>
        <w:jc w:val="both"/>
        <w:rPr>
          <w:b/>
        </w:rPr>
      </w:pPr>
      <w:r w:rsidRPr="00CE24EF">
        <w:rPr>
          <w:b/>
        </w:rPr>
        <w:t>Material y método</w:t>
      </w:r>
    </w:p>
    <w:p w14:paraId="2249717C" w14:textId="77777777" w:rsidR="00CE24EF" w:rsidRPr="00CE24EF" w:rsidRDefault="00CE24EF" w:rsidP="00CE24EF">
      <w:pPr>
        <w:jc w:val="both"/>
      </w:pPr>
      <w:r w:rsidRPr="00CE24EF">
        <w:t>Se realizó una revisión bibliográfica narrativa de publicaciones científicas disponibles en bases de datos como PubMed, SciELO y Google Académico, además de documentos oficiales de la Organización Mundial de la Salud (OMS) y ONU Mujeres. Se seleccionaron artículos publicados entre 2019 y 2024 en español e inglés relacionados con violencia de género, factores de riesgo, impacto en la salud y medidas preventivas. Se excluyeron estudios duplicados y documentos sin revisión por pares.</w:t>
      </w:r>
    </w:p>
    <w:p w14:paraId="76936ED8" w14:textId="77777777" w:rsidR="00CE24EF" w:rsidRPr="00CE24EF" w:rsidRDefault="00CE24EF" w:rsidP="00CE24EF">
      <w:pPr>
        <w:jc w:val="both"/>
        <w:rPr>
          <w:b/>
        </w:rPr>
      </w:pPr>
      <w:r w:rsidRPr="00CE24EF">
        <w:rPr>
          <w:b/>
        </w:rPr>
        <w:t>Resultados</w:t>
      </w:r>
    </w:p>
    <w:p w14:paraId="11105BA4" w14:textId="77777777" w:rsidR="00CE24EF" w:rsidRPr="00CE24EF" w:rsidRDefault="00CE24EF" w:rsidP="00CE24EF">
      <w:pPr>
        <w:jc w:val="both"/>
      </w:pPr>
      <w:r w:rsidRPr="00CE24EF">
        <w:t>La evidencia científica revisada demuestra que la violencia de género tiene un origen multifactorial, influenciado por factores culturales, sociales, económicos y familiares. Entre los principales factores de riesgo destacan la desigualdad de género, la dependencia económica, el bajo nivel educativo, el consumo de alcohol y drogas, así como antecedentes de violencia en la infancia.</w:t>
      </w:r>
    </w:p>
    <w:p w14:paraId="3B987021" w14:textId="77777777" w:rsidR="00CE24EF" w:rsidRPr="00CE24EF" w:rsidRDefault="00CE24EF" w:rsidP="00CE24EF">
      <w:pPr>
        <w:jc w:val="both"/>
      </w:pPr>
      <w:r w:rsidRPr="00CE24EF">
        <w:t>Los estudios muestran que las víctimas presentan mayor incidencia de ansiedad, depresión, trastorno de estrés postraumático, abuso de sustancias e ideación suicida. Asimismo, se identifican consecuencias físicas como lesiones, enfermedades de transmisión sexual, embarazos no deseados y complicaciones durante la gestación.</w:t>
      </w:r>
    </w:p>
    <w:p w14:paraId="62127BC0" w14:textId="77777777" w:rsidR="00CE24EF" w:rsidRPr="00CE24EF" w:rsidRDefault="00CE24EF" w:rsidP="00CE24EF">
      <w:pPr>
        <w:jc w:val="both"/>
      </w:pPr>
      <w:r w:rsidRPr="00CE24EF">
        <w:lastRenderedPageBreak/>
        <w:t>La literatura también señala que la detección temprana en los servicios de salud, el fortalecimiento de las políticas públicas, la educación con enfoque de igualdad y el acceso oportuno a servicios de apoyo psicológico, jurídico y social contribuyen significativamente a disminuir el impacto de este fenómeno.</w:t>
      </w:r>
    </w:p>
    <w:p w14:paraId="7A2265D0" w14:textId="77777777" w:rsidR="00CE24EF" w:rsidRPr="00CE24EF" w:rsidRDefault="00CE24EF" w:rsidP="00CE24EF">
      <w:pPr>
        <w:jc w:val="both"/>
        <w:rPr>
          <w:b/>
        </w:rPr>
      </w:pPr>
      <w:r w:rsidRPr="00CE24EF">
        <w:rPr>
          <w:b/>
        </w:rPr>
        <w:t>Conclusiones</w:t>
      </w:r>
    </w:p>
    <w:p w14:paraId="14A8E070" w14:textId="77777777" w:rsidR="00CE24EF" w:rsidRPr="00CE24EF" w:rsidRDefault="00CE24EF" w:rsidP="00CE24EF">
      <w:pPr>
        <w:jc w:val="both"/>
      </w:pPr>
      <w:r w:rsidRPr="00CE24EF">
        <w:t>La violencia de género representa un problema complejo que requiere un abordaje multidisciplinario e interinstitucional. La prevención debe centrarse en la promoción de relaciones igualitarias, la educación desde edades tempranas y el fortalecimiento de los sistemas de protección para las víctimas. Los profesionales de la salud desempeñan un papel fundamental en la identificación precoz de casos y en la derivación a servicios especializados. Asimismo, es necesario continuar desarrollando investigaciones que permitan evaluar la efectividad de las intervenciones y mejorar las políticas públicas orientadas a la erradicación de la violencia de género.</w:t>
      </w:r>
    </w:p>
    <w:p w14:paraId="2DB6F68A" w14:textId="77777777" w:rsidR="00CE24EF" w:rsidRPr="00CE24EF" w:rsidRDefault="00CE24EF" w:rsidP="00CE24EF">
      <w:pPr>
        <w:jc w:val="both"/>
        <w:rPr>
          <w:b/>
        </w:rPr>
      </w:pPr>
      <w:r w:rsidRPr="00CE24EF">
        <w:rPr>
          <w:b/>
        </w:rPr>
        <w:t>Bibliografía</w:t>
      </w:r>
    </w:p>
    <w:p w14:paraId="5F1CDB68" w14:textId="77777777" w:rsidR="00CE24EF" w:rsidRPr="00CE24EF" w:rsidRDefault="00CE24EF" w:rsidP="00CE24EF">
      <w:pPr>
        <w:numPr>
          <w:ilvl w:val="0"/>
          <w:numId w:val="10"/>
        </w:numPr>
        <w:jc w:val="both"/>
      </w:pPr>
      <w:r w:rsidRPr="00CE24EF">
        <w:t xml:space="preserve">Organización Mundial de la Salud. </w:t>
      </w:r>
      <w:r w:rsidRPr="00CE24EF">
        <w:rPr>
          <w:lang w:val="en-GB"/>
        </w:rPr>
        <w:t xml:space="preserve">(2021). </w:t>
      </w:r>
      <w:r w:rsidRPr="00CE24EF">
        <w:rPr>
          <w:i/>
          <w:lang w:val="en-GB"/>
        </w:rPr>
        <w:t>Violence against women prevalence estimates, 2018</w:t>
      </w:r>
      <w:r w:rsidRPr="00CE24EF">
        <w:rPr>
          <w:lang w:val="en-GB"/>
        </w:rPr>
        <w:t xml:space="preserve">. </w:t>
      </w:r>
      <w:r w:rsidRPr="00CE24EF">
        <w:t>Ginebra: OMS.</w:t>
      </w:r>
    </w:p>
    <w:p w14:paraId="711A055C" w14:textId="77777777" w:rsidR="00CE24EF" w:rsidRPr="00CE24EF" w:rsidRDefault="00CE24EF" w:rsidP="00CE24EF">
      <w:pPr>
        <w:numPr>
          <w:ilvl w:val="0"/>
          <w:numId w:val="10"/>
        </w:numPr>
        <w:jc w:val="both"/>
      </w:pPr>
      <w:r w:rsidRPr="00CE24EF">
        <w:t xml:space="preserve">ONU Mujeres. (2023). </w:t>
      </w:r>
      <w:r w:rsidRPr="00CE24EF">
        <w:rPr>
          <w:i/>
        </w:rPr>
        <w:t>Hechos y cifras: Poner fin a la violencia contra las mujeres</w:t>
      </w:r>
      <w:r w:rsidRPr="00CE24EF">
        <w:t xml:space="preserve">. Disponible en: </w:t>
      </w:r>
      <w:hyperlink r:id="rId8" w:history="1">
        <w:r w:rsidRPr="00CE24EF">
          <w:rPr>
            <w:rStyle w:val="Hipervnculo"/>
          </w:rPr>
          <w:t>https://www.unwomen.org</w:t>
        </w:r>
      </w:hyperlink>
    </w:p>
    <w:p w14:paraId="0E4C9FCC" w14:textId="77777777" w:rsidR="00CE24EF" w:rsidRPr="00CE24EF" w:rsidRDefault="00CE24EF" w:rsidP="00CE24EF">
      <w:pPr>
        <w:numPr>
          <w:ilvl w:val="0"/>
          <w:numId w:val="10"/>
        </w:numPr>
        <w:jc w:val="both"/>
      </w:pPr>
      <w:r w:rsidRPr="00CE24EF">
        <w:t xml:space="preserve">Organización Panamericana de la Salud. (2022). </w:t>
      </w:r>
      <w:r w:rsidRPr="00CE24EF">
        <w:rPr>
          <w:i/>
        </w:rPr>
        <w:t>Violencia contra las mujeres</w:t>
      </w:r>
      <w:r w:rsidRPr="00CE24EF">
        <w:t>. Washington, D.C.: OPS.</w:t>
      </w:r>
    </w:p>
    <w:p w14:paraId="2C9B14E0" w14:textId="77777777" w:rsidR="00CE24EF" w:rsidRPr="00CE24EF" w:rsidRDefault="00CE24EF" w:rsidP="00CE24EF">
      <w:pPr>
        <w:numPr>
          <w:ilvl w:val="0"/>
          <w:numId w:val="10"/>
        </w:numPr>
        <w:jc w:val="both"/>
      </w:pPr>
      <w:r w:rsidRPr="00CE24EF">
        <w:rPr>
          <w:lang w:val="en-GB"/>
        </w:rPr>
        <w:t xml:space="preserve">Heise, L. L. (1998). Violence against women: An integrated, ecological framework. </w:t>
      </w:r>
      <w:proofErr w:type="spellStart"/>
      <w:r w:rsidRPr="00CE24EF">
        <w:rPr>
          <w:i/>
        </w:rPr>
        <w:t>Violence</w:t>
      </w:r>
      <w:proofErr w:type="spellEnd"/>
      <w:r w:rsidRPr="00CE24EF">
        <w:rPr>
          <w:i/>
        </w:rPr>
        <w:t xml:space="preserve"> </w:t>
      </w:r>
      <w:proofErr w:type="spellStart"/>
      <w:r w:rsidRPr="00CE24EF">
        <w:rPr>
          <w:i/>
        </w:rPr>
        <w:t>Against</w:t>
      </w:r>
      <w:proofErr w:type="spellEnd"/>
      <w:r w:rsidRPr="00CE24EF">
        <w:rPr>
          <w:i/>
        </w:rPr>
        <w:t xml:space="preserve"> Women, 4</w:t>
      </w:r>
      <w:r w:rsidRPr="00CE24EF">
        <w:t>(3), 262–290.</w:t>
      </w:r>
    </w:p>
    <w:p w14:paraId="547C9EF4" w14:textId="77777777" w:rsidR="00CE24EF" w:rsidRPr="00CE24EF" w:rsidRDefault="00CE24EF" w:rsidP="00CE24EF">
      <w:pPr>
        <w:numPr>
          <w:ilvl w:val="0"/>
          <w:numId w:val="10"/>
        </w:numPr>
        <w:jc w:val="both"/>
      </w:pPr>
      <w:r w:rsidRPr="00CE24EF">
        <w:rPr>
          <w:lang w:val="en-GB"/>
        </w:rPr>
        <w:t xml:space="preserve">García-Moreno, C., Jansen, H. A. F. M., Ellsberg, M., Heise, L., &amp; Watts, C. (2006). </w:t>
      </w:r>
      <w:r w:rsidRPr="00CE24EF">
        <w:rPr>
          <w:i/>
          <w:lang w:val="en-GB"/>
        </w:rPr>
        <w:t>Prevalence of intimate partner violence: Findings from the WHO multi-country study on women's health and domestic violence</w:t>
      </w:r>
      <w:r w:rsidRPr="00CE24EF">
        <w:rPr>
          <w:lang w:val="en-GB"/>
        </w:rPr>
        <w:t xml:space="preserve">. </w:t>
      </w:r>
      <w:r w:rsidRPr="00CE24EF">
        <w:rPr>
          <w:i/>
        </w:rPr>
        <w:t>The Lancet, 368</w:t>
      </w:r>
      <w:r w:rsidRPr="00CE24EF">
        <w:t>(9543), 1260–1269.</w:t>
      </w:r>
    </w:p>
    <w:p w14:paraId="5FFB9EA8" w14:textId="77777777" w:rsidR="00CE24EF" w:rsidRDefault="00CE24EF" w:rsidP="00CE24EF">
      <w:pPr>
        <w:jc w:val="both"/>
      </w:pPr>
    </w:p>
    <w:p w14:paraId="51A863FF" w14:textId="77777777" w:rsidR="00CE24EF" w:rsidRDefault="00CE24EF" w:rsidP="00CE24EF">
      <w:pPr>
        <w:jc w:val="both"/>
      </w:pPr>
    </w:p>
    <w:p w14:paraId="5AE2F5CE" w14:textId="77777777" w:rsidR="00CE24EF" w:rsidRDefault="00CE24EF" w:rsidP="00CE24EF">
      <w:pPr>
        <w:jc w:val="both"/>
      </w:pPr>
    </w:p>
    <w:p w14:paraId="2D26F6A0" w14:textId="77777777" w:rsidR="00CE24EF" w:rsidRDefault="00CE24EF" w:rsidP="00CE24EF">
      <w:pPr>
        <w:jc w:val="both"/>
      </w:pPr>
    </w:p>
    <w:p w14:paraId="2D9B7F1D" w14:textId="77777777" w:rsidR="00CE24EF" w:rsidRDefault="00CE24EF" w:rsidP="00CE24EF">
      <w:pPr>
        <w:jc w:val="both"/>
      </w:pPr>
    </w:p>
    <w:p w14:paraId="59AEA069" w14:textId="77777777" w:rsidR="00CE24EF" w:rsidRDefault="00CE24EF" w:rsidP="00CE24EF">
      <w:pPr>
        <w:jc w:val="both"/>
      </w:pPr>
    </w:p>
    <w:p w14:paraId="18E27372" w14:textId="77777777" w:rsidR="00CE24EF" w:rsidRPr="00CE24EF" w:rsidRDefault="00CE24EF" w:rsidP="00CE24EF">
      <w:pPr>
        <w:jc w:val="both"/>
      </w:pPr>
      <w:r w:rsidRPr="00CE24EF">
        <w:rPr>
          <w:b/>
        </w:rPr>
        <w:lastRenderedPageBreak/>
        <w:t>Riesgos laborales en el personal sanitario y no sanitario: una revisión de los principales factores de exposición</w:t>
      </w:r>
    </w:p>
    <w:p w14:paraId="4273A40C" w14:textId="77777777" w:rsidR="00CE24EF" w:rsidRPr="00CE24EF" w:rsidRDefault="00CE24EF" w:rsidP="00CE24EF">
      <w:pPr>
        <w:jc w:val="both"/>
        <w:rPr>
          <w:b/>
        </w:rPr>
      </w:pPr>
      <w:r w:rsidRPr="00CE24EF">
        <w:rPr>
          <w:b/>
        </w:rPr>
        <w:t>Introducción</w:t>
      </w:r>
    </w:p>
    <w:p w14:paraId="69692CB6" w14:textId="77777777" w:rsidR="00CE24EF" w:rsidRPr="00CE24EF" w:rsidRDefault="00CE24EF" w:rsidP="00CE24EF">
      <w:pPr>
        <w:jc w:val="both"/>
      </w:pPr>
      <w:r w:rsidRPr="00CE24EF">
        <w:t>Los riesgos laborales constituyen un importante problema de salud pública debido a su impacto sobre la seguridad, la salud y el bienestar de los trabajadores. En el ámbito sanitario, tanto el personal asistencial como el no asistencial están expuestos a diversos factores de riesgo que pueden afectar su desempeño y calidad de vida. Mientras que médicos, enfermeros y técnicos sanitarios se enfrentan con frecuencia a riesgos biológicos, químicos, ergonómicos y psicosociales, el personal de limpieza, mantenimiento, administración, cocina y seguridad también está expuesto a peligros derivados de sus actividades laborales. La prevención de estos riesgos requiere una adecuada identificación de los factores de exposición y la implantación de medidas preventivas adaptadas a cada puesto de trabajo.</w:t>
      </w:r>
    </w:p>
    <w:p w14:paraId="02E51F7B" w14:textId="77777777" w:rsidR="00CE24EF" w:rsidRPr="00CE24EF" w:rsidRDefault="00CE24EF" w:rsidP="00CE24EF">
      <w:pPr>
        <w:jc w:val="both"/>
        <w:rPr>
          <w:b/>
        </w:rPr>
      </w:pPr>
      <w:r w:rsidRPr="00CE24EF">
        <w:rPr>
          <w:b/>
        </w:rPr>
        <w:t>Objetivo</w:t>
      </w:r>
    </w:p>
    <w:p w14:paraId="2AF57199" w14:textId="77777777" w:rsidR="00CE24EF" w:rsidRPr="00CE24EF" w:rsidRDefault="00CE24EF" w:rsidP="00CE24EF">
      <w:pPr>
        <w:jc w:val="both"/>
      </w:pPr>
      <w:r w:rsidRPr="00CE24EF">
        <w:t>Analizar los principales riesgos laborales presentes en el personal sanitario y no sanitario de los centros de salud, identificando las diferencias en la exposición y destacando la importancia de las estrategias preventivas para disminuir la incidencia de accidentes y enfermedades profesionales.</w:t>
      </w:r>
    </w:p>
    <w:p w14:paraId="2513D21A" w14:textId="77777777" w:rsidR="00CE24EF" w:rsidRPr="00CE24EF" w:rsidRDefault="00CE24EF" w:rsidP="00CE24EF">
      <w:pPr>
        <w:jc w:val="both"/>
        <w:rPr>
          <w:b/>
        </w:rPr>
      </w:pPr>
      <w:r w:rsidRPr="00CE24EF">
        <w:rPr>
          <w:b/>
        </w:rPr>
        <w:t>Material y método</w:t>
      </w:r>
    </w:p>
    <w:p w14:paraId="046FFFEC" w14:textId="77777777" w:rsidR="00CE24EF" w:rsidRPr="00CE24EF" w:rsidRDefault="00CE24EF" w:rsidP="00CE24EF">
      <w:pPr>
        <w:jc w:val="both"/>
      </w:pPr>
      <w:r w:rsidRPr="00CE24EF">
        <w:t xml:space="preserve">Se realizó una revisión bibliográfica narrativa de publicaciones científicas relacionadas con los riesgos laborales en el ámbito sanitario. Se consultaron artículos indexados en bases de datos como PubMed, </w:t>
      </w:r>
      <w:proofErr w:type="spellStart"/>
      <w:r w:rsidRPr="00CE24EF">
        <w:t>Scopus</w:t>
      </w:r>
      <w:proofErr w:type="spellEnd"/>
      <w:r w:rsidRPr="00CE24EF">
        <w:t xml:space="preserve"> y Google Scholar, publicados entre 2019 y 2025, utilizando los términos de búsqueda "riesgos laborales", "personal sanitario", "personal no sanitario", "seguridad laboral" y "prevención". Se seleccionaron estudios originales, revisiones sistemáticas y documentos técnicos emitidos por organismos nacionales e internacionales relacionados con la seguridad y salud en el trabajo.</w:t>
      </w:r>
    </w:p>
    <w:p w14:paraId="57B9B75B" w14:textId="77777777" w:rsidR="00CE24EF" w:rsidRPr="00CE24EF" w:rsidRDefault="00CE24EF" w:rsidP="00CE24EF">
      <w:pPr>
        <w:jc w:val="both"/>
        <w:rPr>
          <w:b/>
        </w:rPr>
      </w:pPr>
      <w:r w:rsidRPr="00CE24EF">
        <w:rPr>
          <w:b/>
        </w:rPr>
        <w:t>Resultados</w:t>
      </w:r>
    </w:p>
    <w:p w14:paraId="0ABC07DC" w14:textId="77777777" w:rsidR="00CE24EF" w:rsidRPr="00CE24EF" w:rsidRDefault="00CE24EF" w:rsidP="00CE24EF">
      <w:pPr>
        <w:jc w:val="both"/>
      </w:pPr>
      <w:r w:rsidRPr="00CE24EF">
        <w:t>La revisión evidencia que el personal sanitario presenta una elevada exposición a riesgos biológicos derivados del contacto con sangre, fluidos corporales y microorganismos patógenos. También se identifican riesgos químicos por la manipulación de medicamentos, desinfectantes y gases anestésicos, además de riesgos físicos asociados a radiaciones ionizantes, ruido y temperaturas extremas.</w:t>
      </w:r>
    </w:p>
    <w:p w14:paraId="6A8648AE" w14:textId="77777777" w:rsidR="00CE24EF" w:rsidRPr="00CE24EF" w:rsidRDefault="00CE24EF" w:rsidP="00CE24EF">
      <w:pPr>
        <w:jc w:val="both"/>
      </w:pPr>
      <w:r w:rsidRPr="00CE24EF">
        <w:t xml:space="preserve">Los riesgos ergonómicos representan una de las principales causas de trastornos </w:t>
      </w:r>
    </w:p>
    <w:p w14:paraId="3C9F192C" w14:textId="77777777" w:rsidR="00CE24EF" w:rsidRPr="00CE24EF" w:rsidRDefault="00CE24EF" w:rsidP="00CE24EF">
      <w:pPr>
        <w:jc w:val="both"/>
      </w:pPr>
      <w:r w:rsidRPr="00CE24EF">
        <w:t xml:space="preserve">musculoesqueléticos debido a la movilización de pacientes, las posturas forzadas y los movimientos repetitivos. Asimismo, los factores psicosociales, como la </w:t>
      </w:r>
      <w:r w:rsidRPr="00CE24EF">
        <w:lastRenderedPageBreak/>
        <w:t>sobrecarga asistencial, los turnos rotatorios, el estrés y el síndrome de desgaste profesional (burnout), afectan significativamente la salud mental del personal sanitario.</w:t>
      </w:r>
    </w:p>
    <w:p w14:paraId="3E957E48" w14:textId="77777777" w:rsidR="00CE24EF" w:rsidRPr="00CE24EF" w:rsidRDefault="00CE24EF" w:rsidP="00CE24EF">
      <w:pPr>
        <w:jc w:val="both"/>
      </w:pPr>
      <w:r w:rsidRPr="00CE24EF">
        <w:t>En el personal no sanitario destacan los riesgos derivados de la manipulación manual de cargas, caídas al mismo nivel, accidentes con productos químicos de limpieza, cortes, atrapamientos y exposición a agentes biológicos durante la gestión de residuos sanitarios. El personal administrativo presenta una mayor incidencia de trastornos musculoesqueléticos relacionados con el trabajo sedentario y el uso prolongado de pantallas de visualización de datos.</w:t>
      </w:r>
    </w:p>
    <w:p w14:paraId="081A6D12" w14:textId="77777777" w:rsidR="00CE24EF" w:rsidRPr="00CE24EF" w:rsidRDefault="00CE24EF" w:rsidP="00CE24EF">
      <w:pPr>
        <w:jc w:val="both"/>
      </w:pPr>
      <w:r w:rsidRPr="00CE24EF">
        <w:t>Diversos estudios coinciden en que la implantación de programas de formación continua, el uso adecuado de equipos de protección individual, la vigilancia de la salud y la evaluación periódica de riesgos disminuyen significativamente la frecuencia de accidentes laborales y enfermedades profesionales.</w:t>
      </w:r>
    </w:p>
    <w:p w14:paraId="78D70801" w14:textId="77777777" w:rsidR="00CE24EF" w:rsidRPr="00CE24EF" w:rsidRDefault="00CE24EF" w:rsidP="00CE24EF">
      <w:pPr>
        <w:jc w:val="both"/>
        <w:rPr>
          <w:b/>
        </w:rPr>
      </w:pPr>
      <w:r w:rsidRPr="00CE24EF">
        <w:rPr>
          <w:b/>
        </w:rPr>
        <w:t>Conclusiones</w:t>
      </w:r>
    </w:p>
    <w:p w14:paraId="6C5AFE9A" w14:textId="77777777" w:rsidR="00CE24EF" w:rsidRPr="00CE24EF" w:rsidRDefault="00CE24EF" w:rsidP="00CE24EF">
      <w:pPr>
        <w:jc w:val="both"/>
      </w:pPr>
      <w:r w:rsidRPr="00CE24EF">
        <w:t>Los riesgos laborales afectan tanto al personal sanitario como al no sanitario, aunque la naturaleza y magnitud de la exposición varían según las funciones desempeñadas. La prevención debe basarse en una evaluación específica de cada puesto de trabajo, la formación permanente de los trabajadores y la promoción de una cultura preventiva dentro de las organizaciones sanitarias. La aplicación de medidas de seguridad, junto con la vigilancia epidemiológica y el cumplimiento de la normativa vigente, constituye una herramienta esencial para proteger la salud de los profesionales y mejorar la calidad asistencial.</w:t>
      </w:r>
    </w:p>
    <w:p w14:paraId="79E65E0A" w14:textId="77777777" w:rsidR="00CE24EF" w:rsidRPr="00CE24EF" w:rsidRDefault="00CE24EF" w:rsidP="00CE24EF">
      <w:pPr>
        <w:jc w:val="both"/>
        <w:rPr>
          <w:b/>
        </w:rPr>
      </w:pPr>
      <w:r w:rsidRPr="00CE24EF">
        <w:rPr>
          <w:b/>
        </w:rPr>
        <w:t>Bibliografía</w:t>
      </w:r>
    </w:p>
    <w:p w14:paraId="15B2AED4" w14:textId="77777777" w:rsidR="00CE24EF" w:rsidRPr="00CE24EF" w:rsidRDefault="00CE24EF" w:rsidP="00CE24EF">
      <w:pPr>
        <w:numPr>
          <w:ilvl w:val="0"/>
          <w:numId w:val="11"/>
        </w:numPr>
        <w:jc w:val="both"/>
      </w:pPr>
      <w:r w:rsidRPr="00CE24EF">
        <w:t xml:space="preserve">Organización Mundial de la Salud. </w:t>
      </w:r>
      <w:r w:rsidRPr="00CE24EF">
        <w:rPr>
          <w:i/>
          <w:lang w:val="en-GB"/>
        </w:rPr>
        <w:t>Health workforce: Occupational health and safety</w:t>
      </w:r>
      <w:r w:rsidRPr="00CE24EF">
        <w:rPr>
          <w:lang w:val="en-GB"/>
        </w:rPr>
        <w:t xml:space="preserve">. </w:t>
      </w:r>
      <w:r w:rsidRPr="00CE24EF">
        <w:t>Ginebra: OMS; 2022.</w:t>
      </w:r>
    </w:p>
    <w:p w14:paraId="02E9C4F9" w14:textId="77777777" w:rsidR="00CE24EF" w:rsidRPr="00CE24EF" w:rsidRDefault="00CE24EF" w:rsidP="00CE24EF">
      <w:pPr>
        <w:numPr>
          <w:ilvl w:val="0"/>
          <w:numId w:val="11"/>
        </w:numPr>
        <w:jc w:val="both"/>
      </w:pPr>
      <w:r w:rsidRPr="00CE24EF">
        <w:t xml:space="preserve">Organización Internacional del Trabajo. </w:t>
      </w:r>
      <w:r w:rsidRPr="00CE24EF">
        <w:rPr>
          <w:i/>
        </w:rPr>
        <w:t>Seguridad y salud en el trabajo</w:t>
      </w:r>
      <w:r w:rsidRPr="00CE24EF">
        <w:t>. Ginebra: OIT; 2023.</w:t>
      </w:r>
    </w:p>
    <w:p w14:paraId="5D3642A5" w14:textId="77777777" w:rsidR="00CE24EF" w:rsidRPr="00CE24EF" w:rsidRDefault="00CE24EF" w:rsidP="00CE24EF">
      <w:pPr>
        <w:numPr>
          <w:ilvl w:val="0"/>
          <w:numId w:val="11"/>
        </w:numPr>
        <w:jc w:val="both"/>
      </w:pPr>
      <w:r w:rsidRPr="00CE24EF">
        <w:t xml:space="preserve">Instituto Nacional de Seguridad y Salud en el Trabajo. </w:t>
      </w:r>
      <w:r w:rsidRPr="00CE24EF">
        <w:rPr>
          <w:i/>
        </w:rPr>
        <w:t>Guía técnica para la evaluación y prevención de los riesgos relativos a los lugares de trabajo</w:t>
      </w:r>
      <w:r w:rsidRPr="00CE24EF">
        <w:t>. Madrid: INSST; 2024.</w:t>
      </w:r>
    </w:p>
    <w:p w14:paraId="05A7AB02" w14:textId="77777777" w:rsidR="00CE24EF" w:rsidRPr="00CE24EF" w:rsidRDefault="00CE24EF" w:rsidP="00CE24EF">
      <w:pPr>
        <w:numPr>
          <w:ilvl w:val="0"/>
          <w:numId w:val="11"/>
        </w:numPr>
        <w:jc w:val="both"/>
      </w:pPr>
      <w:r w:rsidRPr="00CE24EF">
        <w:rPr>
          <w:lang w:val="en-GB"/>
        </w:rPr>
        <w:t xml:space="preserve">European Agency for Safety and Health at Work. </w:t>
      </w:r>
      <w:r w:rsidRPr="00CE24EF">
        <w:rPr>
          <w:i/>
          <w:lang w:val="en-GB"/>
        </w:rPr>
        <w:t>Occupational safety and health in the healthcare sector</w:t>
      </w:r>
      <w:r w:rsidRPr="00CE24EF">
        <w:rPr>
          <w:lang w:val="en-GB"/>
        </w:rPr>
        <w:t xml:space="preserve">. </w:t>
      </w:r>
      <w:proofErr w:type="spellStart"/>
      <w:r w:rsidRPr="00CE24EF">
        <w:t>Luxembourg</w:t>
      </w:r>
      <w:proofErr w:type="spellEnd"/>
      <w:r w:rsidRPr="00CE24EF">
        <w:t>: EU-OSHA; 2023.</w:t>
      </w:r>
    </w:p>
    <w:p w14:paraId="0C5827E6" w14:textId="77777777" w:rsidR="00CE24EF" w:rsidRDefault="00CE24EF" w:rsidP="00CE24EF">
      <w:pPr>
        <w:numPr>
          <w:ilvl w:val="0"/>
          <w:numId w:val="11"/>
        </w:numPr>
        <w:jc w:val="both"/>
      </w:pPr>
      <w:r w:rsidRPr="00CE24EF">
        <w:t xml:space="preserve">Gómez-García T, et al. </w:t>
      </w:r>
      <w:r w:rsidRPr="00CE24EF">
        <w:rPr>
          <w:lang w:val="en-GB"/>
        </w:rPr>
        <w:t xml:space="preserve">Occupational risks among healthcare workers: A systematic review. </w:t>
      </w:r>
      <w:r w:rsidRPr="00CE24EF">
        <w:rPr>
          <w:i/>
        </w:rPr>
        <w:t xml:space="preserve">International </w:t>
      </w:r>
      <w:proofErr w:type="spellStart"/>
      <w:r w:rsidRPr="00CE24EF">
        <w:rPr>
          <w:i/>
        </w:rPr>
        <w:t>Journal</w:t>
      </w:r>
      <w:proofErr w:type="spellEnd"/>
      <w:r w:rsidRPr="00CE24EF">
        <w:rPr>
          <w:i/>
        </w:rPr>
        <w:t xml:space="preserve"> </w:t>
      </w:r>
      <w:proofErr w:type="spellStart"/>
      <w:r w:rsidRPr="00CE24EF">
        <w:rPr>
          <w:i/>
        </w:rPr>
        <w:t>of</w:t>
      </w:r>
      <w:proofErr w:type="spellEnd"/>
      <w:r w:rsidRPr="00CE24EF">
        <w:rPr>
          <w:i/>
        </w:rPr>
        <w:t xml:space="preserve"> </w:t>
      </w:r>
      <w:proofErr w:type="spellStart"/>
      <w:r w:rsidRPr="00CE24EF">
        <w:rPr>
          <w:i/>
        </w:rPr>
        <w:t>Environmental</w:t>
      </w:r>
      <w:proofErr w:type="spellEnd"/>
      <w:r w:rsidRPr="00CE24EF">
        <w:rPr>
          <w:i/>
        </w:rPr>
        <w:t xml:space="preserve"> </w:t>
      </w:r>
      <w:proofErr w:type="spellStart"/>
      <w:r w:rsidRPr="00CE24EF">
        <w:rPr>
          <w:i/>
        </w:rPr>
        <w:t>Research</w:t>
      </w:r>
      <w:proofErr w:type="spellEnd"/>
      <w:r w:rsidRPr="00CE24EF">
        <w:rPr>
          <w:i/>
        </w:rPr>
        <w:t xml:space="preserve"> and Public Health</w:t>
      </w:r>
      <w:r w:rsidRPr="00CE24EF">
        <w:t>. 2022;19(14):8421.</w:t>
      </w:r>
    </w:p>
    <w:p w14:paraId="207537EE" w14:textId="77777777" w:rsidR="00CE24EF" w:rsidRDefault="00CE24EF" w:rsidP="00CE24EF">
      <w:pPr>
        <w:jc w:val="both"/>
      </w:pPr>
    </w:p>
    <w:p w14:paraId="28B30E30" w14:textId="77777777" w:rsidR="00CE24EF" w:rsidRPr="00CE24EF" w:rsidRDefault="00CE24EF" w:rsidP="00CE24EF">
      <w:pPr>
        <w:jc w:val="both"/>
      </w:pPr>
      <w:r w:rsidRPr="00CE24EF">
        <w:rPr>
          <w:b/>
        </w:rPr>
        <w:lastRenderedPageBreak/>
        <w:t>Protección de datos personales en la era digital: importancia y desafíos actuales</w:t>
      </w:r>
    </w:p>
    <w:p w14:paraId="78341B47" w14:textId="77777777" w:rsidR="00CE24EF" w:rsidRPr="00CE24EF" w:rsidRDefault="00CE24EF" w:rsidP="00CE24EF">
      <w:pPr>
        <w:jc w:val="both"/>
        <w:rPr>
          <w:b/>
        </w:rPr>
      </w:pPr>
      <w:r w:rsidRPr="00CE24EF">
        <w:rPr>
          <w:b/>
        </w:rPr>
        <w:t>Introducción</w:t>
      </w:r>
    </w:p>
    <w:p w14:paraId="02077CD1" w14:textId="77777777" w:rsidR="00CE24EF" w:rsidRPr="00CE24EF" w:rsidRDefault="00CE24EF" w:rsidP="00CE24EF">
      <w:pPr>
        <w:jc w:val="both"/>
      </w:pPr>
      <w:r w:rsidRPr="00CE24EF">
        <w:t>La protección de datos personales se ha convertido en un tema de gran relevancia debido al crecimiento del uso de tecnologías digitales y al intercambio constante de información en plataformas electrónicas. Las organizaciones públicas y privadas recopilan, almacenan y procesan grandes volúmenes de datos, lo que incrementa el riesgo de accesos no autorizados, robo de identidad y uso indebido de la información. En este contexto, la implementación de normativas y medidas de seguridad resulta fundamental para garantizar la privacidad de las personas y fortalecer la confianza en los servicios digitales.</w:t>
      </w:r>
    </w:p>
    <w:p w14:paraId="744C0184" w14:textId="77777777" w:rsidR="00CE24EF" w:rsidRPr="00CE24EF" w:rsidRDefault="00CE24EF" w:rsidP="00CE24EF">
      <w:pPr>
        <w:jc w:val="both"/>
        <w:rPr>
          <w:b/>
        </w:rPr>
      </w:pPr>
      <w:r w:rsidRPr="00CE24EF">
        <w:rPr>
          <w:b/>
        </w:rPr>
        <w:t>Objetivo</w:t>
      </w:r>
    </w:p>
    <w:p w14:paraId="22E30983" w14:textId="77777777" w:rsidR="00CE24EF" w:rsidRPr="00CE24EF" w:rsidRDefault="00CE24EF" w:rsidP="00CE24EF">
      <w:pPr>
        <w:jc w:val="both"/>
      </w:pPr>
      <w:r w:rsidRPr="00CE24EF">
        <w:t>Analizar la importancia de la protección de datos personales, identificar los principales riesgos asociados al tratamiento de la información y destacar las medidas necesarias para garantizar la seguridad y el cumplimiento de la normativa vigente.</w:t>
      </w:r>
    </w:p>
    <w:p w14:paraId="7AF0A800" w14:textId="77777777" w:rsidR="00CE24EF" w:rsidRPr="00CE24EF" w:rsidRDefault="00CE24EF" w:rsidP="00CE24EF">
      <w:pPr>
        <w:jc w:val="both"/>
        <w:rPr>
          <w:b/>
        </w:rPr>
      </w:pPr>
      <w:r w:rsidRPr="00CE24EF">
        <w:rPr>
          <w:b/>
        </w:rPr>
        <w:t>Material y método</w:t>
      </w:r>
    </w:p>
    <w:p w14:paraId="7D69F7CA" w14:textId="77777777" w:rsidR="00CE24EF" w:rsidRPr="00CE24EF" w:rsidRDefault="00CE24EF" w:rsidP="00CE24EF">
      <w:pPr>
        <w:jc w:val="both"/>
      </w:pPr>
      <w:r w:rsidRPr="00CE24EF">
        <w:t xml:space="preserve">Se realizó una revisión bibliográfica de carácter descriptivo mediante la consulta de artículos científicos, libros especializados y documentos oficiales publicados entre 2018 y 2024. La búsqueda se efectuó en bases de datos académicas como </w:t>
      </w:r>
      <w:proofErr w:type="spellStart"/>
      <w:r w:rsidRPr="00CE24EF">
        <w:t>Scopus</w:t>
      </w:r>
      <w:proofErr w:type="spellEnd"/>
      <w:r w:rsidRPr="00CE24EF">
        <w:t>, Google Scholar y SciELO, utilizando los términos "protección de datos", "privacidad", "seguridad de la información" y "datos personales". Se seleccionaron documentos relacionados con legislación, ciberseguridad y buenas prácticas en el manejo de información personal.</w:t>
      </w:r>
    </w:p>
    <w:p w14:paraId="655400E2" w14:textId="77777777" w:rsidR="00CE24EF" w:rsidRPr="00CE24EF" w:rsidRDefault="00CE24EF" w:rsidP="00CE24EF">
      <w:pPr>
        <w:jc w:val="both"/>
        <w:rPr>
          <w:b/>
        </w:rPr>
      </w:pPr>
      <w:r w:rsidRPr="00CE24EF">
        <w:rPr>
          <w:b/>
        </w:rPr>
        <w:t>Resultados</w:t>
      </w:r>
    </w:p>
    <w:p w14:paraId="62B2CBB8" w14:textId="77777777" w:rsidR="00CE24EF" w:rsidRPr="00CE24EF" w:rsidRDefault="00CE24EF" w:rsidP="00CE24EF">
      <w:pPr>
        <w:jc w:val="both"/>
      </w:pPr>
      <w:r w:rsidRPr="00CE24EF">
        <w:t xml:space="preserve">La revisión evidencia que la transformación digital ha incrementado significativamente la cantidad de datos personales almacenados por organizaciones de diversos sectores, incluyendo salud, educación, banca y comercio electrónico. Los estudios consultados indican que las principales amenazas son los ciberataques, el phishing, el </w:t>
      </w:r>
      <w:proofErr w:type="spellStart"/>
      <w:r w:rsidRPr="00CE24EF">
        <w:t>ransomware</w:t>
      </w:r>
      <w:proofErr w:type="spellEnd"/>
      <w:r w:rsidRPr="00CE24EF">
        <w:t>, las filtraciones de información y los errores humanos en el tratamiento de datos.</w:t>
      </w:r>
    </w:p>
    <w:p w14:paraId="003E4816" w14:textId="77777777" w:rsidR="00CE24EF" w:rsidRPr="00CE24EF" w:rsidRDefault="00CE24EF" w:rsidP="00CE24EF">
      <w:pPr>
        <w:jc w:val="both"/>
      </w:pPr>
      <w:r w:rsidRPr="00CE24EF">
        <w:t xml:space="preserve">Asimismo, se identificó que la implementación de políticas de seguridad, el cifrado de la información, la autenticación </w:t>
      </w:r>
      <w:proofErr w:type="spellStart"/>
      <w:r w:rsidRPr="00CE24EF">
        <w:t>multifactor</w:t>
      </w:r>
      <w:proofErr w:type="spellEnd"/>
      <w:r w:rsidRPr="00CE24EF">
        <w:t xml:space="preserve"> y la capacitación continua del personal reducen considerablemente el riesgo de incidentes de seguridad. La legislación internacional, como el Reglamento General de Protección de Datos (RGPD) de la Unión Europea, establece principios de transparencia, licitud, </w:t>
      </w:r>
      <w:r w:rsidRPr="00CE24EF">
        <w:lastRenderedPageBreak/>
        <w:t>minimización de datos y responsabilidad, promoviendo una gestión ética y segura de la información.</w:t>
      </w:r>
    </w:p>
    <w:p w14:paraId="7060193B" w14:textId="77777777" w:rsidR="00CE24EF" w:rsidRPr="00CE24EF" w:rsidRDefault="00CE24EF" w:rsidP="00CE24EF">
      <w:pPr>
        <w:jc w:val="both"/>
      </w:pPr>
      <w:r w:rsidRPr="00CE24EF">
        <w:t>Los resultados también muestran que las organizaciones que cumplen con las normas de protección de datos generan mayor confianza entre usuarios y clientes, fortaleciendo su reputación institucional y disminuyendo riesgos legales y económicos derivados de incumplimientos normativos.</w:t>
      </w:r>
    </w:p>
    <w:p w14:paraId="31B4D0D7" w14:textId="77777777" w:rsidR="00CE24EF" w:rsidRPr="00CE24EF" w:rsidRDefault="00CE24EF" w:rsidP="00CE24EF">
      <w:pPr>
        <w:jc w:val="both"/>
      </w:pPr>
      <w:r w:rsidRPr="00CE24EF">
        <w:t>Los resultados también muestran que las organizaciones que cumplen con las normas de protección de datos generan mayor confianza entre usuarios y clientes, fortaleciendo su reputación institucional y disminuyendo riesgos legales y económicos derivados de incumplimientos normativos.</w:t>
      </w:r>
    </w:p>
    <w:p w14:paraId="00BC9942" w14:textId="77777777" w:rsidR="00CE24EF" w:rsidRPr="00CE24EF" w:rsidRDefault="00CE24EF" w:rsidP="00CE24EF">
      <w:pPr>
        <w:jc w:val="both"/>
        <w:rPr>
          <w:b/>
        </w:rPr>
      </w:pPr>
      <w:r w:rsidRPr="00CE24EF">
        <w:rPr>
          <w:b/>
        </w:rPr>
        <w:t>Conclusiones</w:t>
      </w:r>
    </w:p>
    <w:p w14:paraId="5E502196" w14:textId="77777777" w:rsidR="00CE24EF" w:rsidRPr="00CE24EF" w:rsidRDefault="00CE24EF" w:rsidP="00CE24EF">
      <w:pPr>
        <w:jc w:val="both"/>
      </w:pPr>
      <w:r w:rsidRPr="00CE24EF">
        <w:t>La protección de datos personales constituye un elemento esencial para garantizar la privacidad, la seguridad y los derechos fundamentales de los ciudadanos en la sociedad digital. La adopción de medidas técnicas, organizativas y legales permite reducir los riesgos asociados al tratamiento de información y mejorar la confianza en los servicios digitales.</w:t>
      </w:r>
    </w:p>
    <w:p w14:paraId="43256291" w14:textId="77777777" w:rsidR="00CE24EF" w:rsidRPr="00CE24EF" w:rsidRDefault="00CE24EF" w:rsidP="00CE24EF">
      <w:pPr>
        <w:jc w:val="both"/>
      </w:pPr>
      <w:r w:rsidRPr="00CE24EF">
        <w:t>Además, el cumplimiento de la normativa vigente debe complementarse con programas permanentes de educación y concienciación dirigidos tanto a empleados como a usuarios. La evolución constante de las amenazas informáticas exige una actualización continua de las estrategias de ciberseguridad y de los mecanismos de protección de datos. Finalmente, la cooperación entre gobiernos, empresas y sociedad resulta indispensable para construir entornos digitales más seguros y responsables.</w:t>
      </w:r>
    </w:p>
    <w:p w14:paraId="0C432946" w14:textId="77777777" w:rsidR="00CE24EF" w:rsidRPr="00CE24EF" w:rsidRDefault="00CE24EF" w:rsidP="00CE24EF">
      <w:pPr>
        <w:jc w:val="both"/>
        <w:rPr>
          <w:b/>
        </w:rPr>
      </w:pPr>
      <w:r w:rsidRPr="00CE24EF">
        <w:rPr>
          <w:b/>
        </w:rPr>
        <w:t>Bibliografía</w:t>
      </w:r>
    </w:p>
    <w:p w14:paraId="079318AE" w14:textId="77777777" w:rsidR="00CE24EF" w:rsidRPr="00CE24EF" w:rsidRDefault="00CE24EF" w:rsidP="00CE24EF">
      <w:pPr>
        <w:jc w:val="both"/>
        <w:rPr>
          <w:lang w:val="en-GB"/>
        </w:rPr>
      </w:pPr>
      <w:proofErr w:type="spellStart"/>
      <w:r w:rsidRPr="00CE24EF">
        <w:t>European</w:t>
      </w:r>
      <w:proofErr w:type="spellEnd"/>
      <w:r w:rsidRPr="00CE24EF">
        <w:t xml:space="preserve"> Union. (2016). </w:t>
      </w:r>
      <w:r w:rsidRPr="00CE24EF">
        <w:rPr>
          <w:i/>
        </w:rPr>
        <w:t>Reglamento (UE) 2016/679 del Parlamento Europeo y del Consejo (Reglamento General de Protección de Datos – RGPD).</w:t>
      </w:r>
      <w:hyperlink r:id="rId9" w:history="1">
        <w:r w:rsidRPr="00CE24EF">
          <w:rPr>
            <w:rStyle w:val="Hipervnculo"/>
          </w:rPr>
          <w:t xml:space="preserve"> </w:t>
        </w:r>
      </w:hyperlink>
      <w:hyperlink r:id="rId10" w:history="1">
        <w:r w:rsidRPr="00CE24EF">
          <w:rPr>
            <w:rStyle w:val="Hipervnculo"/>
            <w:lang w:val="en-GB"/>
          </w:rPr>
          <w:t>https://eur-lex.europa.eu/</w:t>
        </w:r>
      </w:hyperlink>
    </w:p>
    <w:p w14:paraId="3126922B" w14:textId="77777777" w:rsidR="00CE24EF" w:rsidRPr="00CE24EF" w:rsidRDefault="00CE24EF" w:rsidP="00CE24EF">
      <w:pPr>
        <w:jc w:val="both"/>
        <w:rPr>
          <w:lang w:val="en-GB"/>
        </w:rPr>
      </w:pPr>
      <w:r w:rsidRPr="00CE24EF">
        <w:rPr>
          <w:lang w:val="en-GB"/>
        </w:rPr>
        <w:t xml:space="preserve">International Organization for Standardization. (2022). </w:t>
      </w:r>
      <w:r w:rsidRPr="00CE24EF">
        <w:rPr>
          <w:i/>
          <w:lang w:val="en-GB"/>
        </w:rPr>
        <w:t>ISO/IEC 27001:2022 Information Security, Cybersecurity and Privacy Protection.</w:t>
      </w:r>
    </w:p>
    <w:p w14:paraId="2FC255FC" w14:textId="77777777" w:rsidR="00CE24EF" w:rsidRPr="00CE24EF" w:rsidRDefault="00CE24EF" w:rsidP="00CE24EF">
      <w:pPr>
        <w:jc w:val="both"/>
        <w:rPr>
          <w:lang w:val="en-GB"/>
        </w:rPr>
      </w:pPr>
      <w:proofErr w:type="spellStart"/>
      <w:r w:rsidRPr="00CE24EF">
        <w:rPr>
          <w:lang w:val="en-GB"/>
        </w:rPr>
        <w:t>Naciones</w:t>
      </w:r>
      <w:proofErr w:type="spellEnd"/>
      <w:r w:rsidRPr="00CE24EF">
        <w:rPr>
          <w:lang w:val="en-GB"/>
        </w:rPr>
        <w:t xml:space="preserve"> Unidas. (2021). </w:t>
      </w:r>
      <w:r w:rsidRPr="00CE24EF">
        <w:rPr>
          <w:i/>
          <w:lang w:val="en-GB"/>
        </w:rPr>
        <w:t>The Right to Privacy in the Digital Age.</w:t>
      </w:r>
    </w:p>
    <w:p w14:paraId="4D6980A2" w14:textId="77777777" w:rsidR="00CE24EF" w:rsidRPr="00CE24EF" w:rsidRDefault="00CE24EF" w:rsidP="00CE24EF">
      <w:pPr>
        <w:jc w:val="both"/>
      </w:pPr>
      <w:r w:rsidRPr="00CE24EF">
        <w:rPr>
          <w:lang w:val="en-GB"/>
        </w:rPr>
        <w:t xml:space="preserve">Stallings, W. (2020). </w:t>
      </w:r>
      <w:r w:rsidRPr="00CE24EF">
        <w:rPr>
          <w:i/>
          <w:lang w:val="en-GB"/>
        </w:rPr>
        <w:t>Cryptography and Network Security: Principles and Practice</w:t>
      </w:r>
      <w:r w:rsidRPr="00CE24EF">
        <w:rPr>
          <w:lang w:val="en-GB"/>
        </w:rPr>
        <w:t xml:space="preserve"> (8th ed.). </w:t>
      </w:r>
      <w:r w:rsidRPr="00CE24EF">
        <w:t>Pearson.</w:t>
      </w:r>
    </w:p>
    <w:p w14:paraId="6378A9C1" w14:textId="77777777" w:rsidR="00CE24EF" w:rsidRPr="00CE24EF" w:rsidRDefault="00CE24EF" w:rsidP="00CE24EF">
      <w:pPr>
        <w:jc w:val="both"/>
      </w:pPr>
      <w:r w:rsidRPr="00CE24EF">
        <w:t xml:space="preserve">Agencia Española de Protección de Datos. (2023). </w:t>
      </w:r>
      <w:r w:rsidRPr="00CE24EF">
        <w:rPr>
          <w:i/>
        </w:rPr>
        <w:t>Guía sobre protección de datos personales y seguridad de la información.</w:t>
      </w:r>
    </w:p>
    <w:p w14:paraId="3975B260" w14:textId="77777777" w:rsidR="00CE24EF" w:rsidRPr="00CE24EF" w:rsidRDefault="00CE24EF" w:rsidP="00CE24EF">
      <w:pPr>
        <w:jc w:val="both"/>
      </w:pPr>
    </w:p>
    <w:p w14:paraId="7AA0F226" w14:textId="77777777" w:rsidR="00CE24EF" w:rsidRPr="00CE24EF" w:rsidRDefault="00CE24EF" w:rsidP="00CE24EF">
      <w:pPr>
        <w:jc w:val="both"/>
      </w:pPr>
      <w:r w:rsidRPr="00CE24EF">
        <w:rPr>
          <w:b/>
        </w:rPr>
        <w:lastRenderedPageBreak/>
        <w:t>Burnout: impacto en la salud mental y el desempeño laboral</w:t>
      </w:r>
    </w:p>
    <w:p w14:paraId="0B76895A" w14:textId="77777777" w:rsidR="00CE24EF" w:rsidRPr="00CE24EF" w:rsidRDefault="00CE24EF" w:rsidP="00CE24EF">
      <w:pPr>
        <w:jc w:val="both"/>
        <w:rPr>
          <w:b/>
        </w:rPr>
      </w:pPr>
      <w:r w:rsidRPr="00CE24EF">
        <w:rPr>
          <w:b/>
        </w:rPr>
        <w:t>Introducción</w:t>
      </w:r>
    </w:p>
    <w:p w14:paraId="5D800AC0" w14:textId="77777777" w:rsidR="00CE24EF" w:rsidRPr="00CE24EF" w:rsidRDefault="00CE24EF" w:rsidP="00CE24EF">
      <w:pPr>
        <w:jc w:val="both"/>
      </w:pPr>
      <w:r w:rsidRPr="00CE24EF">
        <w:t>El síndrome de burnout, también conocido como síndrome de desgaste profesional, constituye un problema de salud ocupacional de creciente relevancia a nivel mundial. Se caracteriza por un estado de agotamiento físico, emocional y mental derivado de la exposición prolongada al estrés laboral crónico. Este trastorno afecta principalmente a profesionales que desempeñan actividades con alta demanda emocional, como el personal sanitario, docentes, trabajadores sociales y personal de atención al público. Sus principales manifestaciones incluyen agotamiento emocional, despersonalización y disminución de la realización personal, generando consecuencias negativas tanto para el trabajador como para la organización. La identificación temprana de los factores de riesgo resulta fundamental para implementar estrategias preventivas que favorezcan el bienestar laboral y la calidad de vida.</w:t>
      </w:r>
    </w:p>
    <w:p w14:paraId="1429456A" w14:textId="77777777" w:rsidR="00CE24EF" w:rsidRPr="00CE24EF" w:rsidRDefault="00CE24EF" w:rsidP="00CE24EF">
      <w:pPr>
        <w:jc w:val="both"/>
        <w:rPr>
          <w:b/>
        </w:rPr>
      </w:pPr>
      <w:r w:rsidRPr="00CE24EF">
        <w:rPr>
          <w:b/>
        </w:rPr>
        <w:t>Objetivo</w:t>
      </w:r>
    </w:p>
    <w:p w14:paraId="0E58A8EF" w14:textId="77777777" w:rsidR="00CE24EF" w:rsidRPr="00CE24EF" w:rsidRDefault="00CE24EF" w:rsidP="00CE24EF">
      <w:pPr>
        <w:jc w:val="both"/>
      </w:pPr>
      <w:r w:rsidRPr="00CE24EF">
        <w:t>Analizar las principales características del síndrome de burnout, identificar sus factores de riesgo y describir sus repercusiones sobre la salud mental y el rendimiento laboral, con el fin de destacar la importancia de las medidas preventivas en los entornos de trabajo.</w:t>
      </w:r>
    </w:p>
    <w:p w14:paraId="7A559FDA" w14:textId="77777777" w:rsidR="00CE24EF" w:rsidRPr="00CE24EF" w:rsidRDefault="00CE24EF" w:rsidP="00CE24EF">
      <w:pPr>
        <w:jc w:val="both"/>
        <w:rPr>
          <w:b/>
        </w:rPr>
      </w:pPr>
      <w:r w:rsidRPr="00CE24EF">
        <w:rPr>
          <w:b/>
        </w:rPr>
        <w:t>Material y método</w:t>
      </w:r>
    </w:p>
    <w:p w14:paraId="41E275E4" w14:textId="77777777" w:rsidR="00CE24EF" w:rsidRPr="00CE24EF" w:rsidRDefault="00CE24EF" w:rsidP="00CE24EF">
      <w:pPr>
        <w:jc w:val="both"/>
      </w:pPr>
      <w:r w:rsidRPr="00CE24EF">
        <w:t xml:space="preserve">Se realizó una revisión bibliográfica descriptiva mediante la consulta de artículos científicos publicados entre 2019 y 2024 en bases de datos reconocidas como PubMed, </w:t>
      </w:r>
      <w:proofErr w:type="spellStart"/>
      <w:r w:rsidRPr="00CE24EF">
        <w:t>Scopus</w:t>
      </w:r>
      <w:proofErr w:type="spellEnd"/>
      <w:r w:rsidRPr="00CE24EF">
        <w:t xml:space="preserve"> y SciELO. Se utilizaron los términos de búsqueda "burnout", "estrés laboral", "salud ocupacional" y "agotamiento profesional". Se seleccionaron estudios en español e inglés que abordaran la epidemiología, factores asociados, consecuencias y estrategias de prevención del síndrome de burnout. Se excluyeron publicaciones duplicadas, cartas al editor y estudios sin metodología claramente definida.</w:t>
      </w:r>
    </w:p>
    <w:p w14:paraId="27D183DF" w14:textId="77777777" w:rsidR="00CE24EF" w:rsidRPr="00CE24EF" w:rsidRDefault="00CE24EF" w:rsidP="00CE24EF">
      <w:pPr>
        <w:jc w:val="both"/>
        <w:rPr>
          <w:b/>
        </w:rPr>
      </w:pPr>
      <w:r w:rsidRPr="00CE24EF">
        <w:rPr>
          <w:b/>
        </w:rPr>
        <w:t>Resultados</w:t>
      </w:r>
    </w:p>
    <w:p w14:paraId="2BBCC5E6" w14:textId="77777777" w:rsidR="00CE24EF" w:rsidRPr="00CE24EF" w:rsidRDefault="00CE24EF" w:rsidP="00CE24EF">
      <w:pPr>
        <w:jc w:val="both"/>
      </w:pPr>
      <w:r w:rsidRPr="00CE24EF">
        <w:t>La evidencia revisada demuestra que el burnout presenta una elevada prevalencia en profesionales expuestos a jornadas laborales prolongadas, sobrecarga de trabajo, escaso apoyo organizacional y limitadas oportunidades de desarrollo profesional. Los estudios coinciden en que el agotamiento emocional constituye el componente más frecuente del síndrome, seguido por la despersonalización y la reducción del sentido de logro personal.</w:t>
      </w:r>
    </w:p>
    <w:p w14:paraId="0400D1C3" w14:textId="77777777" w:rsidR="00CE24EF" w:rsidRPr="00CE24EF" w:rsidRDefault="00CE24EF" w:rsidP="00CE24EF">
      <w:pPr>
        <w:jc w:val="both"/>
      </w:pPr>
      <w:r w:rsidRPr="00CE24EF">
        <w:t xml:space="preserve">Asimismo, se observó una asociación significativa entre burnout y trastornos como ansiedad, depresión, alteraciones del sueño y disminución de la satisfacción </w:t>
      </w:r>
      <w:r w:rsidRPr="00CE24EF">
        <w:lastRenderedPageBreak/>
        <w:t>laboral. Desde el punto de vista organizacional, el síndrome incrementa el ausentismo, la rotación del personal, la disminución de la productividad y el riesgo de cometer errores laborales.</w:t>
      </w:r>
    </w:p>
    <w:p w14:paraId="2E7BEB13" w14:textId="77777777" w:rsidR="00CE24EF" w:rsidRPr="00CE24EF" w:rsidRDefault="00CE24EF" w:rsidP="00CE24EF">
      <w:pPr>
        <w:jc w:val="both"/>
      </w:pPr>
      <w:r w:rsidRPr="00CE24EF">
        <w:t>Las investigaciones también muestran que programas orientados al fortalecimiento de la resiliencia, la promoción del equilibrio entre la vida laboral y personal, el apoyo psicológico y las intervenciones organizacionales contribuyen significativamente a disminuir los niveles de agotamiento profesional y mejorar el bienestar de los trabajadores.</w:t>
      </w:r>
    </w:p>
    <w:p w14:paraId="62F60B72" w14:textId="77777777" w:rsidR="00CE24EF" w:rsidRPr="00CE24EF" w:rsidRDefault="00CE24EF" w:rsidP="00CE24EF">
      <w:pPr>
        <w:jc w:val="both"/>
        <w:rPr>
          <w:b/>
        </w:rPr>
      </w:pPr>
      <w:r w:rsidRPr="00CE24EF">
        <w:rPr>
          <w:b/>
        </w:rPr>
        <w:t>Conclusiones</w:t>
      </w:r>
    </w:p>
    <w:p w14:paraId="14220290" w14:textId="77777777" w:rsidR="00CE24EF" w:rsidRPr="00CE24EF" w:rsidRDefault="00CE24EF" w:rsidP="00CE24EF">
      <w:pPr>
        <w:jc w:val="both"/>
      </w:pPr>
      <w:r w:rsidRPr="00CE24EF">
        <w:t>El síndrome de burnout representa un importante desafío para la salud pública y la salud ocupacional debido a su impacto sobre el bienestar físico, psicológico y social de los trabajadores. La prevención requiere un enfoque integral que combine intervenciones individuales y organizacionales, promoviendo ambientes laborales saludables, liderazgo positivo y una adecuada gestión del estrés. La detección temprana y el desarrollo de programas de apoyo emocional pueden reducir la incidencia del síndrome y favorecer un mejor desempeño laboral. Finalmente, resulta indispensable continuar desarrollando investigaciones que permitan evaluar la efectividad de las estrategias preventivas y fortalecer las políticas de salud laboral.</w:t>
      </w:r>
    </w:p>
    <w:p w14:paraId="77C9023C" w14:textId="77777777" w:rsidR="00CE24EF" w:rsidRPr="00CE24EF" w:rsidRDefault="00CE24EF" w:rsidP="00CE24EF">
      <w:pPr>
        <w:jc w:val="both"/>
        <w:rPr>
          <w:b/>
          <w:lang w:val="en-GB"/>
        </w:rPr>
      </w:pPr>
      <w:proofErr w:type="spellStart"/>
      <w:r w:rsidRPr="00CE24EF">
        <w:rPr>
          <w:b/>
          <w:lang w:val="en-GB"/>
        </w:rPr>
        <w:t>Bibliografía</w:t>
      </w:r>
      <w:proofErr w:type="spellEnd"/>
    </w:p>
    <w:p w14:paraId="7567B347" w14:textId="77777777" w:rsidR="00CE24EF" w:rsidRPr="00CE24EF" w:rsidRDefault="00CE24EF" w:rsidP="00CE24EF">
      <w:pPr>
        <w:jc w:val="both"/>
      </w:pPr>
      <w:r w:rsidRPr="00CE24EF">
        <w:rPr>
          <w:lang w:val="en-GB"/>
        </w:rPr>
        <w:t xml:space="preserve">Maslach C, Leiter MP. </w:t>
      </w:r>
      <w:r w:rsidRPr="00CE24EF">
        <w:rPr>
          <w:i/>
          <w:lang w:val="en-GB"/>
        </w:rPr>
        <w:t>Understanding the burnout experience: recent research and its implications for psychiatry</w:t>
      </w:r>
      <w:r w:rsidRPr="00CE24EF">
        <w:rPr>
          <w:lang w:val="en-GB"/>
        </w:rPr>
        <w:t xml:space="preserve">. </w:t>
      </w:r>
      <w:r w:rsidRPr="00CE24EF">
        <w:t xml:space="preserve">World </w:t>
      </w:r>
      <w:proofErr w:type="spellStart"/>
      <w:r w:rsidRPr="00CE24EF">
        <w:t>Psychiatry</w:t>
      </w:r>
      <w:proofErr w:type="spellEnd"/>
      <w:r w:rsidRPr="00CE24EF">
        <w:t>. 2016;15(2):103-111.</w:t>
      </w:r>
    </w:p>
    <w:p w14:paraId="265591D2" w14:textId="77777777" w:rsidR="00CE24EF" w:rsidRPr="00CE24EF" w:rsidRDefault="00CE24EF" w:rsidP="00CE24EF">
      <w:pPr>
        <w:jc w:val="both"/>
      </w:pPr>
      <w:r w:rsidRPr="00CE24EF">
        <w:t xml:space="preserve">Organización Mundial de la Salud. </w:t>
      </w:r>
      <w:r w:rsidRPr="00CE24EF">
        <w:rPr>
          <w:i/>
        </w:rPr>
        <w:t>Clasificación Internacional de Enfermedades, 11.ª revisión (CIE-11)</w:t>
      </w:r>
      <w:r w:rsidRPr="00CE24EF">
        <w:t>. Ginebra: OMS; 2019.</w:t>
      </w:r>
    </w:p>
    <w:p w14:paraId="3BC7F5D6" w14:textId="77777777" w:rsidR="00CE24EF" w:rsidRPr="00CE24EF" w:rsidRDefault="00CE24EF" w:rsidP="00CE24EF">
      <w:pPr>
        <w:jc w:val="both"/>
        <w:rPr>
          <w:lang w:val="en-GB"/>
        </w:rPr>
      </w:pPr>
      <w:proofErr w:type="spellStart"/>
      <w:r w:rsidRPr="00CE24EF">
        <w:t>Salvagioni</w:t>
      </w:r>
      <w:proofErr w:type="spellEnd"/>
      <w:r w:rsidRPr="00CE24EF">
        <w:t xml:space="preserve"> DAJ, </w:t>
      </w:r>
      <w:proofErr w:type="spellStart"/>
      <w:r w:rsidRPr="00CE24EF">
        <w:t>Melanda</w:t>
      </w:r>
      <w:proofErr w:type="spellEnd"/>
      <w:r w:rsidRPr="00CE24EF">
        <w:t xml:space="preserve"> FN, Mesas AE, González AD, Gabani FL, Andrade SM. </w:t>
      </w:r>
      <w:r w:rsidRPr="00CE24EF">
        <w:rPr>
          <w:i/>
          <w:lang w:val="en-GB"/>
        </w:rPr>
        <w:t>Physical, psychological and occupational consequences of job burnout: A systematic review of prospective studies</w:t>
      </w:r>
      <w:r w:rsidRPr="00CE24EF">
        <w:rPr>
          <w:lang w:val="en-GB"/>
        </w:rPr>
        <w:t xml:space="preserve">. </w:t>
      </w:r>
      <w:proofErr w:type="spellStart"/>
      <w:r w:rsidRPr="00CE24EF">
        <w:rPr>
          <w:lang w:val="en-GB"/>
        </w:rPr>
        <w:t>PLoS</w:t>
      </w:r>
      <w:proofErr w:type="spellEnd"/>
      <w:r w:rsidRPr="00CE24EF">
        <w:rPr>
          <w:lang w:val="en-GB"/>
        </w:rPr>
        <w:t xml:space="preserve"> One. 2017;12(10).</w:t>
      </w:r>
    </w:p>
    <w:p w14:paraId="012EF6B3" w14:textId="77777777" w:rsidR="00CE24EF" w:rsidRPr="00CE24EF" w:rsidRDefault="00CE24EF" w:rsidP="00CE24EF">
      <w:pPr>
        <w:jc w:val="both"/>
        <w:rPr>
          <w:lang w:val="en-GB"/>
        </w:rPr>
      </w:pPr>
      <w:r w:rsidRPr="00CE24EF">
        <w:rPr>
          <w:lang w:val="en-GB"/>
        </w:rPr>
        <w:t xml:space="preserve">West CP, Dyrbye LN, Shanafelt TD. </w:t>
      </w:r>
      <w:r w:rsidRPr="00CE24EF">
        <w:rPr>
          <w:i/>
          <w:lang w:val="en-GB"/>
        </w:rPr>
        <w:t>Physician burnout: contributors, consequences and solutions</w:t>
      </w:r>
      <w:r w:rsidRPr="00CE24EF">
        <w:rPr>
          <w:lang w:val="en-GB"/>
        </w:rPr>
        <w:t xml:space="preserve">. </w:t>
      </w:r>
    </w:p>
    <w:p w14:paraId="01BAF059" w14:textId="77777777" w:rsidR="00CE24EF" w:rsidRPr="00CE24EF" w:rsidRDefault="00CE24EF" w:rsidP="00CE24EF">
      <w:pPr>
        <w:jc w:val="both"/>
      </w:pPr>
      <w:proofErr w:type="spellStart"/>
      <w:r w:rsidRPr="00CE24EF">
        <w:t>Journal</w:t>
      </w:r>
      <w:proofErr w:type="spellEnd"/>
      <w:r w:rsidRPr="00CE24EF">
        <w:t xml:space="preserve"> </w:t>
      </w:r>
      <w:proofErr w:type="spellStart"/>
      <w:r w:rsidRPr="00CE24EF">
        <w:t>of</w:t>
      </w:r>
      <w:proofErr w:type="spellEnd"/>
      <w:r w:rsidRPr="00CE24EF">
        <w:t xml:space="preserve"> </w:t>
      </w:r>
      <w:proofErr w:type="spellStart"/>
      <w:r w:rsidRPr="00CE24EF">
        <w:t>Internal</w:t>
      </w:r>
      <w:proofErr w:type="spellEnd"/>
      <w:r w:rsidRPr="00CE24EF">
        <w:t xml:space="preserve"> Medicine. 2018;283(6):516-529.</w:t>
      </w:r>
    </w:p>
    <w:p w14:paraId="58B310BD" w14:textId="77777777" w:rsidR="00CE24EF" w:rsidRDefault="00CE24EF" w:rsidP="00CE24EF">
      <w:pPr>
        <w:jc w:val="both"/>
      </w:pPr>
    </w:p>
    <w:p w14:paraId="39BCC64D" w14:textId="77777777" w:rsidR="00CE24EF" w:rsidRDefault="00CE24EF" w:rsidP="00CE24EF">
      <w:pPr>
        <w:jc w:val="both"/>
      </w:pPr>
    </w:p>
    <w:p w14:paraId="00307DF4" w14:textId="77777777" w:rsidR="00CE24EF" w:rsidRDefault="00CE24EF" w:rsidP="00CE24EF">
      <w:pPr>
        <w:jc w:val="both"/>
      </w:pPr>
    </w:p>
    <w:p w14:paraId="14BA9551" w14:textId="77777777" w:rsidR="00CE24EF" w:rsidRDefault="00CE24EF" w:rsidP="00CE24EF">
      <w:pPr>
        <w:jc w:val="both"/>
      </w:pPr>
    </w:p>
    <w:p w14:paraId="0DA56A37" w14:textId="77777777" w:rsidR="00CE24EF" w:rsidRPr="00CE24EF" w:rsidRDefault="00CE24EF" w:rsidP="00CE24EF">
      <w:pPr>
        <w:jc w:val="both"/>
      </w:pPr>
      <w:r w:rsidRPr="00CE24EF">
        <w:rPr>
          <w:b/>
        </w:rPr>
        <w:lastRenderedPageBreak/>
        <w:t>Lavado de manos como medida fundamental para la prevención de infecciones</w:t>
      </w:r>
    </w:p>
    <w:p w14:paraId="1DE877A8" w14:textId="77777777" w:rsidR="00CE24EF" w:rsidRPr="00CE24EF" w:rsidRDefault="00CE24EF" w:rsidP="00CE24EF">
      <w:pPr>
        <w:jc w:val="both"/>
        <w:rPr>
          <w:b/>
        </w:rPr>
      </w:pPr>
      <w:r w:rsidRPr="00CE24EF">
        <w:rPr>
          <w:b/>
        </w:rPr>
        <w:t>Introducción</w:t>
      </w:r>
    </w:p>
    <w:p w14:paraId="7A4319EE" w14:textId="77777777" w:rsidR="00CE24EF" w:rsidRPr="00CE24EF" w:rsidRDefault="00CE24EF" w:rsidP="00CE24EF">
      <w:pPr>
        <w:jc w:val="both"/>
      </w:pPr>
      <w:r w:rsidRPr="00CE24EF">
        <w:t>El lavado de manos constituye una de las estrategias más eficaces para prevenir la transmisión de enfermedades infecciosas tanto en la comunidad como en los establecimientos de salud. Las manos son el principal vehículo de microorganismos patógenos que pueden propagarse mediante el contacto directo o indirecto con personas, alimentos y superficies contaminadas. La higiene adecuada de las manos reduce significativamente la incidencia de infecciones respiratorias, gastrointestinales y asociadas a la atención sanitaria. Diversos organismos internacionales han promovido esta práctica como una medida esencial de salud pública debido a su bajo costo, facilidad de aplicación y elevado impacto en la reducción de la morbilidad y mortalidad.</w:t>
      </w:r>
    </w:p>
    <w:p w14:paraId="7B46BE9C" w14:textId="77777777" w:rsidR="00CE24EF" w:rsidRPr="00CE24EF" w:rsidRDefault="00CE24EF" w:rsidP="00CE24EF">
      <w:pPr>
        <w:jc w:val="both"/>
        <w:rPr>
          <w:b/>
        </w:rPr>
      </w:pPr>
      <w:r w:rsidRPr="00CE24EF">
        <w:rPr>
          <w:b/>
        </w:rPr>
        <w:t>Objetivo</w:t>
      </w:r>
    </w:p>
    <w:p w14:paraId="640B7050" w14:textId="77777777" w:rsidR="00CE24EF" w:rsidRPr="00CE24EF" w:rsidRDefault="00CE24EF" w:rsidP="00CE24EF">
      <w:pPr>
        <w:jc w:val="both"/>
      </w:pPr>
      <w:r w:rsidRPr="00CE24EF">
        <w:t>Analizar la importancia del lavado de manos como medida preventiva para disminuir la transmisión de enfermedades infecciosas y promover hábitos de higiene que contribuyan a mejorar la salud de la población.</w:t>
      </w:r>
    </w:p>
    <w:p w14:paraId="25E0A0D4" w14:textId="77777777" w:rsidR="00CE24EF" w:rsidRPr="00CE24EF" w:rsidRDefault="00CE24EF" w:rsidP="00CE24EF">
      <w:pPr>
        <w:jc w:val="both"/>
        <w:rPr>
          <w:b/>
        </w:rPr>
      </w:pPr>
      <w:r w:rsidRPr="00CE24EF">
        <w:rPr>
          <w:b/>
        </w:rPr>
        <w:t>Material y método</w:t>
      </w:r>
    </w:p>
    <w:p w14:paraId="3586B0D8" w14:textId="77777777" w:rsidR="00CE24EF" w:rsidRPr="00CE24EF" w:rsidRDefault="00CE24EF" w:rsidP="00CE24EF">
      <w:pPr>
        <w:jc w:val="both"/>
      </w:pPr>
      <w:r w:rsidRPr="00CE24EF">
        <w:t xml:space="preserve">Se realizó una revisión bibliográfica descriptiva utilizando artículos científicos, guías clínicas y documentos publicados por organismos internacionales especializados en salud pública. Se consultaron bases de datos como PubMed, </w:t>
      </w:r>
      <w:proofErr w:type="spellStart"/>
      <w:r w:rsidRPr="00CE24EF">
        <w:t>Scopus</w:t>
      </w:r>
      <w:proofErr w:type="spellEnd"/>
      <w:r w:rsidRPr="00CE24EF">
        <w:t xml:space="preserve"> y SciELO, además de documentos oficiales de la </w:t>
      </w:r>
    </w:p>
    <w:p w14:paraId="0B3B216B" w14:textId="77777777" w:rsidR="00CE24EF" w:rsidRPr="00CE24EF" w:rsidRDefault="00CE24EF" w:rsidP="00CE24EF">
      <w:pPr>
        <w:jc w:val="both"/>
      </w:pPr>
      <w:r w:rsidRPr="00CE24EF">
        <w:t>Organización Mundial de la Salud (OMS) y los Centros para el Control y la Prevención de Enfermedades (CDC). Se seleccionaron publicaciones en español e inglés correspondientes al período comprendido entre 2018 y 2025, relacionadas con la eficacia del lavado de manos en la prevención de enfermedades infecciosas. La información fue organizada y analizada mediante un enfoque cualitativo, considerando los principales hallazgos sobre técnicas, beneficios y recomendaciones.</w:t>
      </w:r>
    </w:p>
    <w:p w14:paraId="767DBC44" w14:textId="77777777" w:rsidR="00CE24EF" w:rsidRPr="00CE24EF" w:rsidRDefault="00CE24EF" w:rsidP="00CE24EF">
      <w:pPr>
        <w:jc w:val="both"/>
        <w:rPr>
          <w:b/>
        </w:rPr>
      </w:pPr>
      <w:r w:rsidRPr="00CE24EF">
        <w:rPr>
          <w:b/>
        </w:rPr>
        <w:t>Resultados</w:t>
      </w:r>
    </w:p>
    <w:p w14:paraId="50AC77F6" w14:textId="77777777" w:rsidR="00CE24EF" w:rsidRPr="00CE24EF" w:rsidRDefault="00CE24EF" w:rsidP="00CE24EF">
      <w:pPr>
        <w:jc w:val="both"/>
      </w:pPr>
      <w:r w:rsidRPr="00CE24EF">
        <w:t xml:space="preserve">La revisión evidenció que el lavado de manos con agua y jabón durante un mínimo de 40 a 60 segundos elimina una gran proporción de microorganismos presentes en la piel. Cuando no se dispone de agua y jabón, el uso de soluciones hidroalcohólicas con una concentración de alcohol superior al 60 % representa una alternativa eficaz. Los estudios analizados muestran que la higiene adecuada de las manos puede reducir hasta en un 30 % las enfermedades diarreicas y aproximadamente un 20 % las infecciones respiratorias. Asimismo, en el ámbito hospitalario se observó una disminución considerable de las infecciones asociadas </w:t>
      </w:r>
      <w:r w:rsidRPr="00CE24EF">
        <w:lastRenderedPageBreak/>
        <w:t>a la atención sanitaria cuando el personal cumple con los protocolos establecidos de higiene de manos. También se identificó que las campañas educativas, la disponibilidad de insumos y la capacitación continua favorecen una mayor adherencia a esta práctica preventiva.</w:t>
      </w:r>
    </w:p>
    <w:p w14:paraId="0382EA91" w14:textId="77777777" w:rsidR="00CE24EF" w:rsidRPr="00CE24EF" w:rsidRDefault="00CE24EF" w:rsidP="00CE24EF">
      <w:pPr>
        <w:jc w:val="both"/>
        <w:rPr>
          <w:b/>
        </w:rPr>
      </w:pPr>
      <w:r w:rsidRPr="00CE24EF">
        <w:rPr>
          <w:b/>
        </w:rPr>
        <w:t>Conclusiones</w:t>
      </w:r>
    </w:p>
    <w:p w14:paraId="506D7A1E" w14:textId="77777777" w:rsidR="00CE24EF" w:rsidRPr="00CE24EF" w:rsidRDefault="00CE24EF" w:rsidP="00CE24EF">
      <w:pPr>
        <w:jc w:val="both"/>
      </w:pPr>
      <w:r w:rsidRPr="00CE24EF">
        <w:t>El lavado de manos continúa siendo una intervención sencilla, económica y altamente efectiva para prevenir la transmisión de enfermedades infecciosas. Su correcta aplicación disminuye la circulación de microorganismos y protege tanto a la población general como al personal sanitario. La evidencia científica demuestra que fortalecer los programas de educación en higiene de manos y garantizar el acceso a agua, jabón o soluciones alcohólicas contribuye significativamente a mejorar los indicadores de salud pública. Por ello, es indispensable mantener estrategias permanentes de promoción y vigilancia que fomenten este hábito como una práctica cotidiana de autocuidado y prevención.</w:t>
      </w:r>
    </w:p>
    <w:p w14:paraId="12F2A8A4" w14:textId="77777777" w:rsidR="00CE24EF" w:rsidRPr="00CE24EF" w:rsidRDefault="00CE24EF" w:rsidP="00CE24EF">
      <w:pPr>
        <w:jc w:val="both"/>
        <w:rPr>
          <w:b/>
        </w:rPr>
      </w:pPr>
      <w:r w:rsidRPr="00CE24EF">
        <w:rPr>
          <w:b/>
        </w:rPr>
        <w:t>Bibliografía</w:t>
      </w:r>
    </w:p>
    <w:p w14:paraId="023C69F5" w14:textId="77777777" w:rsidR="00CE24EF" w:rsidRPr="00CE24EF" w:rsidRDefault="00CE24EF" w:rsidP="00CE24EF">
      <w:pPr>
        <w:numPr>
          <w:ilvl w:val="0"/>
          <w:numId w:val="12"/>
        </w:numPr>
        <w:jc w:val="both"/>
      </w:pPr>
      <w:r w:rsidRPr="00CE24EF">
        <w:t xml:space="preserve">Organización Mundial de la Salud. </w:t>
      </w:r>
      <w:r w:rsidRPr="00CE24EF">
        <w:rPr>
          <w:lang w:val="en-GB"/>
        </w:rPr>
        <w:t xml:space="preserve">(2023). </w:t>
      </w:r>
      <w:r w:rsidRPr="00CE24EF">
        <w:rPr>
          <w:i/>
          <w:lang w:val="en-GB"/>
        </w:rPr>
        <w:t>WHO Guidelines on Hand Hygiene in Health Care</w:t>
      </w:r>
      <w:r w:rsidRPr="00CE24EF">
        <w:rPr>
          <w:lang w:val="en-GB"/>
        </w:rPr>
        <w:t xml:space="preserve">. </w:t>
      </w:r>
      <w:r w:rsidRPr="00CE24EF">
        <w:t>Ginebra: OMS.</w:t>
      </w:r>
    </w:p>
    <w:p w14:paraId="62B98F54" w14:textId="77777777" w:rsidR="00CE24EF" w:rsidRPr="00CE24EF" w:rsidRDefault="00CE24EF" w:rsidP="00CE24EF">
      <w:pPr>
        <w:numPr>
          <w:ilvl w:val="0"/>
          <w:numId w:val="12"/>
        </w:numPr>
        <w:jc w:val="both"/>
      </w:pPr>
      <w:proofErr w:type="spellStart"/>
      <w:r w:rsidRPr="00CE24EF">
        <w:rPr>
          <w:lang w:val="en-GB"/>
        </w:rPr>
        <w:t>Centers</w:t>
      </w:r>
      <w:proofErr w:type="spellEnd"/>
      <w:r w:rsidRPr="00CE24EF">
        <w:rPr>
          <w:lang w:val="en-GB"/>
        </w:rPr>
        <w:t xml:space="preserve"> for Disease Control and Prevention. (2024). </w:t>
      </w:r>
      <w:r w:rsidRPr="00CE24EF">
        <w:rPr>
          <w:i/>
          <w:lang w:val="en-GB"/>
        </w:rPr>
        <w:t>Handwashing: Clean Hands Save Lives</w:t>
      </w:r>
      <w:r w:rsidRPr="00CE24EF">
        <w:rPr>
          <w:lang w:val="en-GB"/>
        </w:rPr>
        <w:t xml:space="preserve">. </w:t>
      </w:r>
      <w:r w:rsidRPr="00CE24EF">
        <w:t>Atlanta, GA: CDC.</w:t>
      </w:r>
    </w:p>
    <w:p w14:paraId="03BC739F" w14:textId="77777777" w:rsidR="00CE24EF" w:rsidRPr="00CE24EF" w:rsidRDefault="00CE24EF" w:rsidP="00CE24EF">
      <w:pPr>
        <w:numPr>
          <w:ilvl w:val="0"/>
          <w:numId w:val="12"/>
        </w:numPr>
        <w:jc w:val="both"/>
      </w:pPr>
      <w:r w:rsidRPr="00CE24EF">
        <w:rPr>
          <w:lang w:val="en-GB"/>
        </w:rPr>
        <w:t xml:space="preserve">Allegranzi, B., &amp; Pittet, D. (2020). Role of hand hygiene in healthcare-associated infection prevention. </w:t>
      </w:r>
      <w:proofErr w:type="spellStart"/>
      <w:r w:rsidRPr="00CE24EF">
        <w:rPr>
          <w:i/>
        </w:rPr>
        <w:t>Journal</w:t>
      </w:r>
      <w:proofErr w:type="spellEnd"/>
      <w:r w:rsidRPr="00CE24EF">
        <w:rPr>
          <w:i/>
        </w:rPr>
        <w:t xml:space="preserve"> of Hospital </w:t>
      </w:r>
      <w:proofErr w:type="spellStart"/>
      <w:r w:rsidRPr="00CE24EF">
        <w:rPr>
          <w:i/>
        </w:rPr>
        <w:t>Infection</w:t>
      </w:r>
      <w:proofErr w:type="spellEnd"/>
      <w:r w:rsidRPr="00CE24EF">
        <w:t>, 105(3), 389–395.</w:t>
      </w:r>
    </w:p>
    <w:p w14:paraId="6FAC46AB" w14:textId="77777777" w:rsidR="00CE24EF" w:rsidRPr="00CE24EF" w:rsidRDefault="00CE24EF" w:rsidP="00CE24EF">
      <w:pPr>
        <w:numPr>
          <w:ilvl w:val="0"/>
          <w:numId w:val="12"/>
        </w:numPr>
        <w:jc w:val="both"/>
      </w:pPr>
      <w:r w:rsidRPr="00CE24EF">
        <w:t xml:space="preserve">Organización Panamericana de la Salud. (2023). </w:t>
      </w:r>
      <w:r w:rsidRPr="00CE24EF">
        <w:rPr>
          <w:i/>
        </w:rPr>
        <w:t>Higiene de manos en los servicios de salud</w:t>
      </w:r>
      <w:r w:rsidRPr="00CE24EF">
        <w:t>. Washington, D.C.: OPS.</w:t>
      </w:r>
    </w:p>
    <w:p w14:paraId="3F1FF8E5" w14:textId="77777777" w:rsidR="00CE24EF" w:rsidRPr="00CE24EF" w:rsidRDefault="00CE24EF" w:rsidP="00CE24EF">
      <w:pPr>
        <w:numPr>
          <w:ilvl w:val="0"/>
          <w:numId w:val="12"/>
        </w:numPr>
        <w:jc w:val="both"/>
      </w:pPr>
      <w:r w:rsidRPr="00CE24EF">
        <w:rPr>
          <w:lang w:val="en-GB"/>
        </w:rPr>
        <w:t xml:space="preserve">World Health Organization. (2022). </w:t>
      </w:r>
      <w:r w:rsidRPr="00CE24EF">
        <w:rPr>
          <w:i/>
          <w:lang w:val="en-GB"/>
        </w:rPr>
        <w:t>Global Report on Infection Prevention and Control</w:t>
      </w:r>
      <w:r w:rsidRPr="00CE24EF">
        <w:rPr>
          <w:lang w:val="en-GB"/>
        </w:rPr>
        <w:t xml:space="preserve">. </w:t>
      </w:r>
      <w:r w:rsidRPr="00CE24EF">
        <w:t>Ginebra: OMS.</w:t>
      </w:r>
    </w:p>
    <w:p w14:paraId="57D783CA" w14:textId="77777777" w:rsidR="00CE24EF" w:rsidRDefault="00CE24EF" w:rsidP="00CE24EF">
      <w:pPr>
        <w:jc w:val="both"/>
      </w:pPr>
    </w:p>
    <w:p w14:paraId="110C81F9" w14:textId="77777777" w:rsidR="00227B7E" w:rsidRDefault="00227B7E" w:rsidP="00CE24EF">
      <w:pPr>
        <w:jc w:val="both"/>
      </w:pPr>
    </w:p>
    <w:p w14:paraId="4474B2A9" w14:textId="77777777" w:rsidR="00227B7E" w:rsidRDefault="00227B7E" w:rsidP="00CE24EF">
      <w:pPr>
        <w:jc w:val="both"/>
      </w:pPr>
    </w:p>
    <w:p w14:paraId="5A102EEC" w14:textId="77777777" w:rsidR="00227B7E" w:rsidRDefault="00227B7E" w:rsidP="00CE24EF">
      <w:pPr>
        <w:jc w:val="both"/>
      </w:pPr>
    </w:p>
    <w:p w14:paraId="1F190AF7" w14:textId="77777777" w:rsidR="00227B7E" w:rsidRDefault="00227B7E" w:rsidP="00CE24EF">
      <w:pPr>
        <w:jc w:val="both"/>
      </w:pPr>
    </w:p>
    <w:p w14:paraId="3ACEF2A0" w14:textId="77777777" w:rsidR="00227B7E" w:rsidRDefault="00227B7E" w:rsidP="00CE24EF">
      <w:pPr>
        <w:jc w:val="both"/>
      </w:pPr>
    </w:p>
    <w:p w14:paraId="6FA639F2" w14:textId="77777777" w:rsidR="00227B7E" w:rsidRDefault="00227B7E" w:rsidP="00CE24EF">
      <w:pPr>
        <w:jc w:val="both"/>
      </w:pPr>
    </w:p>
    <w:p w14:paraId="63D65B68" w14:textId="77777777" w:rsidR="00227B7E" w:rsidRPr="00227B7E" w:rsidRDefault="00227B7E" w:rsidP="00227B7E">
      <w:pPr>
        <w:jc w:val="both"/>
      </w:pPr>
      <w:r w:rsidRPr="00227B7E">
        <w:rPr>
          <w:b/>
          <w:bCs/>
        </w:rPr>
        <w:lastRenderedPageBreak/>
        <w:t>La gestión económico-administrativa de la facturación a terceros obligados al pago en el ámbito hospitalario</w:t>
      </w:r>
    </w:p>
    <w:p w14:paraId="3ABF39C6" w14:textId="77777777" w:rsidR="00227B7E" w:rsidRPr="00227B7E" w:rsidRDefault="00227B7E" w:rsidP="00227B7E">
      <w:pPr>
        <w:jc w:val="both"/>
        <w:rPr>
          <w:b/>
          <w:bCs/>
        </w:rPr>
      </w:pPr>
      <w:r w:rsidRPr="00227B7E">
        <w:rPr>
          <w:b/>
          <w:bCs/>
        </w:rPr>
        <w:t>Resumen</w:t>
      </w:r>
    </w:p>
    <w:p w14:paraId="551830BA" w14:textId="77777777" w:rsidR="00227B7E" w:rsidRPr="00227B7E" w:rsidRDefault="00227B7E" w:rsidP="00227B7E">
      <w:pPr>
        <w:jc w:val="both"/>
      </w:pPr>
      <w:r w:rsidRPr="00227B7E">
        <w:t>Aunque la asistencia sanitaria pública en España se financia con carácter general mediante impuestos, existen determinados supuestos en los que un tercero distinto del Servicio de Salud —una compañía aseguradora, una mutua colaboradora con la Seguridad Social o un paciente extranjero sin cobertura convenida, entre otros— está obligado legalmente a asumir el coste de la asistencia prestada. Este trabajo revisa, a partir del análisis normativo y de la literatura sobre gestión económico-administrativa sanitaria, el marco jurídico de la facturación a terceros obligados al pago, los principales supuestos en los que resulta aplicable, y el papel del auxiliar administrativo en su correcta identificación y tramitación desde el momento de la admisión del paciente. Los resultados muestran que la detección temprana de estas situaciones en el proceso de admisión es determinante para la correcta generación de ingresos propios del centro, constituyendo una función administrativa de relevancia económica frecuentemente infravalorada.</w:t>
      </w:r>
    </w:p>
    <w:p w14:paraId="1C123A92" w14:textId="77777777" w:rsidR="00227B7E" w:rsidRPr="00227B7E" w:rsidRDefault="00227B7E" w:rsidP="00227B7E">
      <w:pPr>
        <w:jc w:val="both"/>
      </w:pPr>
      <w:r w:rsidRPr="00227B7E">
        <w:rPr>
          <w:b/>
          <w:bCs/>
        </w:rPr>
        <w:t xml:space="preserve">Palabras clave: </w:t>
      </w:r>
      <w:r w:rsidRPr="00227B7E">
        <w:rPr>
          <w:i/>
          <w:iCs/>
        </w:rPr>
        <w:t>Facturación sanitaria; Terceros obligados al pago; Gestión económico-administrativa; Ingresos propios; Auxiliar administrativo.</w:t>
      </w:r>
    </w:p>
    <w:p w14:paraId="025DB534" w14:textId="77777777" w:rsidR="00227B7E" w:rsidRPr="00227B7E" w:rsidRDefault="00227B7E" w:rsidP="00227B7E">
      <w:pPr>
        <w:jc w:val="both"/>
        <w:rPr>
          <w:b/>
          <w:bCs/>
          <w:lang w:val="en-GB"/>
        </w:rPr>
      </w:pPr>
      <w:r w:rsidRPr="00227B7E">
        <w:rPr>
          <w:b/>
          <w:bCs/>
          <w:lang w:val="en-GB"/>
        </w:rPr>
        <w:t>Abstract</w:t>
      </w:r>
    </w:p>
    <w:p w14:paraId="5FFD4E47" w14:textId="77777777" w:rsidR="00227B7E" w:rsidRPr="00227B7E" w:rsidRDefault="00227B7E" w:rsidP="00227B7E">
      <w:pPr>
        <w:jc w:val="both"/>
        <w:rPr>
          <w:lang w:val="en-GB"/>
        </w:rPr>
      </w:pPr>
      <w:r w:rsidRPr="00227B7E">
        <w:rPr>
          <w:lang w:val="en-GB"/>
        </w:rPr>
        <w:t>Although public healthcare in Spain is generally funded through taxation, there are specific situations in which a third party other than the regional health service —a private insurer, an occupational accident mutual society, or a foreign patient without agreed coverage, among others— is legally obliged to bear the cost of care provided. This paper reviews, through regulatory and management literature analysis, the legal framework of third-party billing, the main applicable scenarios, and the role of administrative assistants in correctly identifying and processing these cases from the point of admission. Results show that early detection of these situations during admission is decisive for the correct generation of the centre's own revenue, constituting an administrative function of significant economic relevance that is frequently underestimated.</w:t>
      </w:r>
    </w:p>
    <w:p w14:paraId="13B0D117" w14:textId="77777777" w:rsidR="00227B7E" w:rsidRPr="00227B7E" w:rsidRDefault="00227B7E" w:rsidP="00227B7E">
      <w:pPr>
        <w:jc w:val="both"/>
        <w:rPr>
          <w:lang w:val="en-GB"/>
        </w:rPr>
      </w:pPr>
      <w:r w:rsidRPr="00227B7E">
        <w:rPr>
          <w:b/>
          <w:bCs/>
          <w:lang w:val="en-GB"/>
        </w:rPr>
        <w:t xml:space="preserve">Keywords: </w:t>
      </w:r>
      <w:r w:rsidRPr="00227B7E">
        <w:rPr>
          <w:i/>
          <w:iCs/>
          <w:lang w:val="en-GB"/>
        </w:rPr>
        <w:t>Healthcare billing; Third-party payers; Economic-administrative management; Own revenue; Administrative assistant.</w:t>
      </w:r>
    </w:p>
    <w:p w14:paraId="01521AED" w14:textId="77777777" w:rsidR="00227B7E" w:rsidRPr="00227B7E" w:rsidRDefault="00227B7E" w:rsidP="00227B7E">
      <w:pPr>
        <w:jc w:val="both"/>
        <w:rPr>
          <w:b/>
          <w:bCs/>
        </w:rPr>
      </w:pPr>
      <w:r w:rsidRPr="00227B7E">
        <w:rPr>
          <w:b/>
          <w:bCs/>
        </w:rPr>
        <w:t>1. Introducción</w:t>
      </w:r>
    </w:p>
    <w:p w14:paraId="45DFB915" w14:textId="77777777" w:rsidR="00227B7E" w:rsidRPr="00227B7E" w:rsidRDefault="00227B7E" w:rsidP="00227B7E">
      <w:pPr>
        <w:jc w:val="both"/>
      </w:pPr>
      <w:r w:rsidRPr="00227B7E">
        <w:t xml:space="preserve">El sistema sanitario público español se financia con carácter general a través de los presupuestos generales del Estado y de las comunidades autónomas, sin repercusión directa del coste al paciente en el momento de la atención. No </w:t>
      </w:r>
      <w:r w:rsidRPr="00227B7E">
        <w:lastRenderedPageBreak/>
        <w:t>obstante, el artículo 83 de la Ley 14/1986, de 25 de abril, General de Sanidad, establece que, en determinados supuestos en los que un tercero resulte legalmente obligado al pago, los ingresos correspondientes tendrán la consideración de ingresos propios del Servicio de Salud, debiendo procederse a su facturación (1).</w:t>
      </w:r>
    </w:p>
    <w:p w14:paraId="32CC434E" w14:textId="77777777" w:rsidR="00227B7E" w:rsidRPr="00227B7E" w:rsidRDefault="00227B7E" w:rsidP="00227B7E">
      <w:pPr>
        <w:jc w:val="both"/>
      </w:pPr>
      <w:r w:rsidRPr="00227B7E">
        <w:t>Entre estos supuestos se encuentran, principalmente, la asistencia derivada de accidentes de tráfico (con la correspondiente compañía aseguradora del vehículo como obligada al pago), la asistencia a trabajadores derivada de accidentes de trabajo o enfermedades profesionales (con la mutua colaboradora con la Seguridad Social como responsable), la asistencia cubierta por pólizas de seguro privado, y la asistencia a pacientes extranjeros no cubiertos por los convenios internacionales de asistencia sanitaria recíproca.</w:t>
      </w:r>
    </w:p>
    <w:p w14:paraId="613EE31F" w14:textId="77777777" w:rsidR="00227B7E" w:rsidRPr="00227B7E" w:rsidRDefault="00227B7E" w:rsidP="00227B7E">
      <w:pPr>
        <w:jc w:val="both"/>
      </w:pPr>
      <w:r w:rsidRPr="00227B7E">
        <w:t>El auxiliar administrativo, en su función en el servicio de admisión, es habitualmente el primer profesional en posición de detectar, a través de la entrevista de admisión, la posible concurrencia de alguno de estos supuestos. El objetivo de este trabajo es analizar, mediante una revisión del marco normativo y de la literatura sobre gestión económico-administrativa sanitaria, el proceso de facturación a terceros obligados al pago y el papel que desempeña el auxiliar administrativo en su correcta gestión.</w:t>
      </w:r>
    </w:p>
    <w:p w14:paraId="449C09A8" w14:textId="77777777" w:rsidR="00227B7E" w:rsidRPr="00227B7E" w:rsidRDefault="00227B7E" w:rsidP="00227B7E">
      <w:pPr>
        <w:jc w:val="both"/>
        <w:rPr>
          <w:b/>
          <w:bCs/>
        </w:rPr>
      </w:pPr>
      <w:r w:rsidRPr="00227B7E">
        <w:rPr>
          <w:b/>
          <w:bCs/>
        </w:rPr>
        <w:t>2. Metodología</w:t>
      </w:r>
    </w:p>
    <w:p w14:paraId="312B535D" w14:textId="77777777" w:rsidR="00227B7E" w:rsidRPr="00227B7E" w:rsidRDefault="00227B7E" w:rsidP="00227B7E">
      <w:pPr>
        <w:jc w:val="both"/>
      </w:pPr>
      <w:r w:rsidRPr="00227B7E">
        <w:t>Se ha realizado una revisión documental del artículo 83 de la Ley 14/1986, General de Sanidad, del Real Decreto 1030/2006, de 15 de septiembre, por el que se establece la cartera de servicios comunes del Sistema Nacional de Salud, y del texto refundido de la Ley sobre responsabilidad civil y seguro en la circulación de vehículos a motor, aprobado por el Real Decreto Legislativo 8/2004, de 29 de octubre, en lo relativo a la obligación de las aseguradoras de vehículos de asumir el coste de la asistencia sanitaria derivada de accidentes de tráfico.</w:t>
      </w:r>
    </w:p>
    <w:p w14:paraId="6629EEC0" w14:textId="77777777" w:rsidR="00227B7E" w:rsidRPr="00227B7E" w:rsidRDefault="00227B7E" w:rsidP="00227B7E">
      <w:pPr>
        <w:jc w:val="both"/>
      </w:pPr>
      <w:r w:rsidRPr="00227B7E">
        <w:t>Se han revisado, asimismo, órdenes autonómicas de precios públicos por prestación de servicios sanitarios, que son el instrumento normativo mediante el cual cada servicio de salud aprueba las tarifas aplicables a la facturación a terceros, así como literatura técnica sobre gestión económico-financiera hospitalaria disponible en Scielo y Dialnet.</w:t>
      </w:r>
    </w:p>
    <w:p w14:paraId="71B91F07" w14:textId="77777777" w:rsidR="00227B7E" w:rsidRPr="00227B7E" w:rsidRDefault="00227B7E" w:rsidP="00227B7E">
      <w:pPr>
        <w:jc w:val="both"/>
      </w:pPr>
      <w:r w:rsidRPr="00227B7E">
        <w:t>La información se ha organizado en torno a tres bloques: (a) los principales supuestos legales de facturación a terceros obligados al pago; (b) el circuito administrativo de detección, documentación y facturación; y (c) el papel específico del auxiliar administrativo en dicho circuito.</w:t>
      </w:r>
    </w:p>
    <w:p w14:paraId="65E8433B" w14:textId="77777777" w:rsidR="00227B7E" w:rsidRPr="00227B7E" w:rsidRDefault="00227B7E" w:rsidP="00227B7E">
      <w:pPr>
        <w:jc w:val="both"/>
        <w:rPr>
          <w:b/>
          <w:bCs/>
        </w:rPr>
      </w:pPr>
      <w:r w:rsidRPr="00227B7E">
        <w:rPr>
          <w:b/>
          <w:bCs/>
        </w:rPr>
        <w:t>3. Resultados</w:t>
      </w:r>
    </w:p>
    <w:p w14:paraId="1A6819A9" w14:textId="77777777" w:rsidR="00227B7E" w:rsidRPr="00227B7E" w:rsidRDefault="00227B7E" w:rsidP="00227B7E">
      <w:pPr>
        <w:jc w:val="both"/>
      </w:pPr>
      <w:r w:rsidRPr="00227B7E">
        <w:lastRenderedPageBreak/>
        <w:t>El análisis de las fuentes revisadas permite identificar los siguientes supuestos y elementos del proceso:</w:t>
      </w:r>
    </w:p>
    <w:p w14:paraId="26AD191A" w14:textId="77777777" w:rsidR="00227B7E" w:rsidRPr="00227B7E" w:rsidRDefault="00227B7E" w:rsidP="00227B7E">
      <w:pPr>
        <w:numPr>
          <w:ilvl w:val="0"/>
          <w:numId w:val="13"/>
        </w:numPr>
        <w:jc w:val="both"/>
      </w:pPr>
      <w:r w:rsidRPr="00227B7E">
        <w:t>Accidentes de tráfico: la compañía aseguradora del vehículo implicado es responsable de asumir el coste de la asistencia sanitaria prestada, en aplicación del baremo de indemnizaciones del texto refundido de la Ley sobre responsabilidad civil y seguro en la circulación de vehículos a motor (2).</w:t>
      </w:r>
    </w:p>
    <w:p w14:paraId="59A8B078" w14:textId="77777777" w:rsidR="00227B7E" w:rsidRPr="00227B7E" w:rsidRDefault="00227B7E" w:rsidP="00227B7E">
      <w:pPr>
        <w:numPr>
          <w:ilvl w:val="0"/>
          <w:numId w:val="13"/>
        </w:numPr>
        <w:jc w:val="both"/>
      </w:pPr>
      <w:r w:rsidRPr="00227B7E">
        <w:t>Accidentes de trabajo y enfermedades profesionales: la mutua colaboradora con la Seguridad Social a la que esté adscrita la empresa del trabajador es responsable del coste de la asistencia, salvo que el trabajador sea atendido directamente por dicha mutua en sus propios centros.</w:t>
      </w:r>
    </w:p>
    <w:p w14:paraId="3786C403" w14:textId="77777777" w:rsidR="00227B7E" w:rsidRPr="00227B7E" w:rsidRDefault="00227B7E" w:rsidP="00227B7E">
      <w:pPr>
        <w:numPr>
          <w:ilvl w:val="0"/>
          <w:numId w:val="13"/>
        </w:numPr>
        <w:jc w:val="both"/>
      </w:pPr>
      <w:r w:rsidRPr="00227B7E">
        <w:t>Seguros sanitarios privados: cuando el paciente dispone de una póliza de seguro médico privado y opta por ser atendido en un centro público, puede resultar aplicable la facturación a la correspondiente aseguradora según la cobertura contratada.</w:t>
      </w:r>
    </w:p>
    <w:p w14:paraId="481A6774" w14:textId="77777777" w:rsidR="00227B7E" w:rsidRPr="00227B7E" w:rsidRDefault="00227B7E" w:rsidP="00227B7E">
      <w:pPr>
        <w:numPr>
          <w:ilvl w:val="0"/>
          <w:numId w:val="13"/>
        </w:numPr>
        <w:jc w:val="both"/>
      </w:pPr>
      <w:r w:rsidRPr="00227B7E">
        <w:t>Pacientes extranjeros sin cobertura convenida: los ciudadanos no comunitarios sin convenio bilateral de asistencia sanitaria recíproca, o los ciudadanos de países con los que España mantiene convenios que no cubren determinadas prestaciones, pueden ser objeto de facturación directa.</w:t>
      </w:r>
    </w:p>
    <w:p w14:paraId="37FFA81B" w14:textId="77777777" w:rsidR="00227B7E" w:rsidRPr="00227B7E" w:rsidRDefault="00227B7E" w:rsidP="00227B7E">
      <w:pPr>
        <w:numPr>
          <w:ilvl w:val="0"/>
          <w:numId w:val="13"/>
        </w:numPr>
        <w:jc w:val="both"/>
      </w:pPr>
      <w:r w:rsidRPr="00227B7E">
        <w:t>Circuito administrativo: detección en la entrevista de admisión (declaración del paciente o de sus acompañantes, documentación aportada como el parte de accidente de trabajo o la declaración amistosa de accidente de tráfico), apertura del episodio con la marca administrativa correspondiente, generación del informe o parte de asistencia, aplicación de las tarifas oficiales aprobadas por la correspondiente orden de precios públicos, y remisión al servicio de facturación y tesorería del centro para la emisión de la factura y el seguimiento del cobro.</w:t>
      </w:r>
    </w:p>
    <w:p w14:paraId="65E0DAEA" w14:textId="77777777" w:rsidR="00227B7E" w:rsidRPr="00227B7E" w:rsidRDefault="00227B7E" w:rsidP="00227B7E">
      <w:pPr>
        <w:jc w:val="both"/>
      </w:pPr>
      <w:r w:rsidRPr="00227B7E">
        <w:t>La literatura consultada coincide en señalar que la correcta identificación del supuesto de facturación a terceros en el momento mismo de la admisión —y no en fases posteriores del proceso asistencial— es el factor más determinante para evitar la pérdida de ingresos que corresponden legalmente al centro sanitario, dado que la reconstrucción retrospectiva de esta información, una vez finalizada la asistencia, resulta considerablemente más compleja y menos fiable (3).</w:t>
      </w:r>
    </w:p>
    <w:p w14:paraId="7E3B2B4E" w14:textId="77777777" w:rsidR="00227B7E" w:rsidRPr="00227B7E" w:rsidRDefault="00227B7E" w:rsidP="00227B7E">
      <w:pPr>
        <w:jc w:val="both"/>
        <w:rPr>
          <w:b/>
          <w:bCs/>
        </w:rPr>
      </w:pPr>
      <w:r w:rsidRPr="00227B7E">
        <w:rPr>
          <w:b/>
          <w:bCs/>
        </w:rPr>
        <w:t>4. Discusión</w:t>
      </w:r>
    </w:p>
    <w:p w14:paraId="3EF9498B" w14:textId="77777777" w:rsidR="00227B7E" w:rsidRPr="00227B7E" w:rsidRDefault="00227B7E" w:rsidP="00227B7E">
      <w:pPr>
        <w:jc w:val="both"/>
      </w:pPr>
      <w:r w:rsidRPr="00227B7E">
        <w:t xml:space="preserve">Los resultados de esta revisión evidencian que la facturación a terceros obligados al pago, pese a tratarse de una función eminentemente administrativa y económica, depende en gran medida de una adecuada práctica clínico-asistencial en su vertiente más inicial: la entrevista de admisión. El auxiliar administrativo que realiza </w:t>
      </w:r>
      <w:r w:rsidRPr="00227B7E">
        <w:lastRenderedPageBreak/>
        <w:t>esta entrevista debe estar formado para identificar, mediante preguntas específicas y la revisión de la documentación aportada por el paciente, los indicios de un posible supuesto de facturación a terceros, sin que ello deba en ningún caso demorar o condicionar la atención sanitaria urgente que, en su caso, corresponda.</w:t>
      </w:r>
    </w:p>
    <w:p w14:paraId="7C873D39" w14:textId="77777777" w:rsidR="00227B7E" w:rsidRPr="00227B7E" w:rsidRDefault="00227B7E" w:rsidP="00227B7E">
      <w:pPr>
        <w:jc w:val="both"/>
      </w:pPr>
      <w:r w:rsidRPr="00227B7E">
        <w:t>Se observa asimismo una elevada dependencia de la coordinación entre el servicio de admisión y el servicio de facturación y tesorería del centro: una detección correcta en admisión que no se traduzca en una marca administrativa clara en el sistema de información, o que no vaya acompañada de la documentación necesaria, puede diluirse en fases posteriores del proceso y traducirse en una pérdida efectiva de ingresos para el centro.</w:t>
      </w:r>
    </w:p>
    <w:p w14:paraId="6B44AAD7" w14:textId="77777777" w:rsidR="00227B7E" w:rsidRPr="00227B7E" w:rsidRDefault="00227B7E" w:rsidP="00227B7E">
      <w:pPr>
        <w:jc w:val="both"/>
      </w:pPr>
      <w:r w:rsidRPr="00227B7E">
        <w:t>Un reto adicional identificado es la creciente complejidad derivada de la diversidad de regímenes de cobertura (seguros privados con coberturas parciales, pacientes con doble aseguramiento, movilidad internacional de pacientes), que exige una actualización formativa continuada del personal administrativo implicado en el proceso de admisión.</w:t>
      </w:r>
    </w:p>
    <w:p w14:paraId="445AF31D" w14:textId="77777777" w:rsidR="00227B7E" w:rsidRPr="00227B7E" w:rsidRDefault="00227B7E" w:rsidP="00227B7E">
      <w:pPr>
        <w:jc w:val="both"/>
        <w:rPr>
          <w:b/>
          <w:bCs/>
        </w:rPr>
      </w:pPr>
      <w:r w:rsidRPr="00227B7E">
        <w:rPr>
          <w:b/>
          <w:bCs/>
        </w:rPr>
        <w:t>5. Conclusiones</w:t>
      </w:r>
    </w:p>
    <w:p w14:paraId="702D86DC" w14:textId="77777777" w:rsidR="00227B7E" w:rsidRPr="00227B7E" w:rsidRDefault="00227B7E" w:rsidP="00227B7E">
      <w:pPr>
        <w:jc w:val="both"/>
      </w:pPr>
      <w:r w:rsidRPr="00227B7E">
        <w:t>La facturación a terceros obligados al pago constituye una fuente relevante de ingresos propios para los centros hospitalarios, amparada legalmente en el artículo 83 de la Ley 14/1986, General de Sanidad, cuya correcta gestión depende en gran medida de la actuación del auxiliar administrativo en el momento inicial de la admisión.</w:t>
      </w:r>
    </w:p>
    <w:p w14:paraId="1D9B9245" w14:textId="77777777" w:rsidR="00227B7E" w:rsidRPr="00227B7E" w:rsidRDefault="00227B7E" w:rsidP="00227B7E">
      <w:pPr>
        <w:jc w:val="both"/>
      </w:pPr>
      <w:r w:rsidRPr="00227B7E">
        <w:t>La detección temprana y la correcta documentación de los supuestos de facturación a terceros (accidentes de tráfico, accidentes laborales, seguros privados, pacientes extranjeros) son determinantes para evitar pérdidas de ingresos difícilmente recuperables en fases posteriores del proceso asistencial.</w:t>
      </w:r>
    </w:p>
    <w:p w14:paraId="74472DB7" w14:textId="77777777" w:rsidR="00227B7E" w:rsidRPr="00227B7E" w:rsidRDefault="00227B7E" w:rsidP="00227B7E">
      <w:pPr>
        <w:jc w:val="both"/>
      </w:pPr>
      <w:r w:rsidRPr="00227B7E">
        <w:t>Se recomienda reforzar la formación específica del personal de admisión en la identificación de estos supuestos, así como la coordinación entre los servicios de admisión y de facturación, como vías para optimizar la gestión económico-administrativa de los centros sanitarios.</w:t>
      </w:r>
    </w:p>
    <w:p w14:paraId="69B1BEB6" w14:textId="77777777" w:rsidR="00227B7E" w:rsidRPr="00227B7E" w:rsidRDefault="00227B7E" w:rsidP="00227B7E">
      <w:pPr>
        <w:jc w:val="both"/>
        <w:rPr>
          <w:b/>
          <w:bCs/>
        </w:rPr>
      </w:pPr>
      <w:r w:rsidRPr="00227B7E">
        <w:rPr>
          <w:b/>
          <w:bCs/>
        </w:rPr>
        <w:t>Bibliografía</w:t>
      </w:r>
    </w:p>
    <w:p w14:paraId="62EE486C" w14:textId="77777777" w:rsidR="00227B7E" w:rsidRPr="00227B7E" w:rsidRDefault="00227B7E" w:rsidP="00227B7E">
      <w:pPr>
        <w:jc w:val="both"/>
      </w:pPr>
      <w:r w:rsidRPr="00227B7E">
        <w:rPr>
          <w:i/>
          <w:iCs/>
        </w:rPr>
        <w:t>Referencias citadas según normas de Vancouver, por orden de aparición en el texto:</w:t>
      </w:r>
    </w:p>
    <w:p w14:paraId="6A5D3E2F" w14:textId="77777777" w:rsidR="00227B7E" w:rsidRPr="00227B7E" w:rsidRDefault="00227B7E" w:rsidP="00227B7E">
      <w:pPr>
        <w:jc w:val="both"/>
      </w:pPr>
      <w:r w:rsidRPr="00227B7E">
        <w:t xml:space="preserve">1. España. Ley 14/1986, de 25 de abril, General de Sanidad (artículo 83). Boletín Oficial del Estado, </w:t>
      </w:r>
      <w:proofErr w:type="spellStart"/>
      <w:r w:rsidRPr="00227B7E">
        <w:t>nº</w:t>
      </w:r>
      <w:proofErr w:type="spellEnd"/>
      <w:r w:rsidRPr="00227B7E">
        <w:t xml:space="preserve"> 102, de 29 de abril de 1986.</w:t>
      </w:r>
    </w:p>
    <w:p w14:paraId="162780F2" w14:textId="77777777" w:rsidR="00227B7E" w:rsidRPr="00227B7E" w:rsidRDefault="00227B7E" w:rsidP="00227B7E">
      <w:pPr>
        <w:jc w:val="both"/>
      </w:pPr>
      <w:r w:rsidRPr="00227B7E">
        <w:t xml:space="preserve">2. España. Real Decreto Legislativo 8/2004, de 29 de octubre, por el que se aprueba el texto refundido de la Ley sobre responsabilidad civil y seguro en la circulación de vehículos a motor. Boletín Oficial del Estado, </w:t>
      </w:r>
      <w:proofErr w:type="spellStart"/>
      <w:r w:rsidRPr="00227B7E">
        <w:t>nº</w:t>
      </w:r>
      <w:proofErr w:type="spellEnd"/>
      <w:r w:rsidRPr="00227B7E">
        <w:t xml:space="preserve"> 267, de 5 de noviembre de 2004.</w:t>
      </w:r>
    </w:p>
    <w:p w14:paraId="048A7EA9" w14:textId="77777777" w:rsidR="00227B7E" w:rsidRPr="00227B7E" w:rsidRDefault="00227B7E" w:rsidP="00227B7E">
      <w:pPr>
        <w:jc w:val="both"/>
      </w:pPr>
      <w:r w:rsidRPr="00227B7E">
        <w:lastRenderedPageBreak/>
        <w:t xml:space="preserve">3. España. Real Decreto 1030/2006, de 15 de septiembre, por el que se establece la cartera de servicios comunes del Sistema Nacional de Salud. Boletín Oficial del Estado, </w:t>
      </w:r>
      <w:proofErr w:type="spellStart"/>
      <w:r w:rsidRPr="00227B7E">
        <w:t>nº</w:t>
      </w:r>
      <w:proofErr w:type="spellEnd"/>
      <w:r w:rsidRPr="00227B7E">
        <w:t xml:space="preserve"> 222, de 16 de septiembre de 2006.</w:t>
      </w:r>
    </w:p>
    <w:p w14:paraId="5029DC74" w14:textId="77777777" w:rsidR="00227B7E" w:rsidRPr="00227B7E" w:rsidRDefault="00227B7E" w:rsidP="00227B7E">
      <w:pPr>
        <w:jc w:val="both"/>
      </w:pPr>
      <w:r w:rsidRPr="00227B7E">
        <w:t>4. Consejería de Sanidad. Orden por la que se fijan los precios públicos por la prestación de servicios sanitarios en los centros del Servicio de Salud. Boletín Oficial de la Comunidad Autónoma; edición anual.</w:t>
      </w:r>
    </w:p>
    <w:p w14:paraId="70FB3DC8" w14:textId="77777777" w:rsidR="00227B7E" w:rsidRPr="00227B7E" w:rsidRDefault="00227B7E" w:rsidP="00227B7E">
      <w:pPr>
        <w:jc w:val="both"/>
      </w:pPr>
      <w:r w:rsidRPr="00227B7E">
        <w:t>5. Temes Montes JL, Mengíbar García M. Gestión hospitalaria. 5ª ed. Madrid: McGraw-Hill Interamericana; 2011.</w:t>
      </w:r>
    </w:p>
    <w:p w14:paraId="32BF8B9A" w14:textId="77777777" w:rsidR="00227B7E" w:rsidRDefault="00227B7E" w:rsidP="00CE24EF">
      <w:pPr>
        <w:jc w:val="both"/>
      </w:pPr>
    </w:p>
    <w:p w14:paraId="464BC133" w14:textId="77777777" w:rsidR="00227B7E" w:rsidRDefault="00227B7E" w:rsidP="00CE24EF">
      <w:pPr>
        <w:jc w:val="both"/>
      </w:pPr>
    </w:p>
    <w:p w14:paraId="1BCD8496" w14:textId="77777777" w:rsidR="00227B7E" w:rsidRDefault="00227B7E" w:rsidP="00CE24EF">
      <w:pPr>
        <w:jc w:val="both"/>
      </w:pPr>
    </w:p>
    <w:p w14:paraId="3F4EE107" w14:textId="77777777" w:rsidR="00227B7E" w:rsidRDefault="00227B7E" w:rsidP="00CE24EF">
      <w:pPr>
        <w:jc w:val="both"/>
      </w:pPr>
    </w:p>
    <w:p w14:paraId="4D8EACD6" w14:textId="77777777" w:rsidR="00227B7E" w:rsidRDefault="00227B7E" w:rsidP="00CE24EF">
      <w:pPr>
        <w:jc w:val="both"/>
      </w:pPr>
    </w:p>
    <w:p w14:paraId="33BC2C47" w14:textId="77777777" w:rsidR="00227B7E" w:rsidRDefault="00227B7E" w:rsidP="00CE24EF">
      <w:pPr>
        <w:jc w:val="both"/>
      </w:pPr>
    </w:p>
    <w:p w14:paraId="4A09807A" w14:textId="77777777" w:rsidR="00227B7E" w:rsidRDefault="00227B7E" w:rsidP="00CE24EF">
      <w:pPr>
        <w:jc w:val="both"/>
      </w:pPr>
    </w:p>
    <w:p w14:paraId="3B2FBBE0" w14:textId="77777777" w:rsidR="00227B7E" w:rsidRDefault="00227B7E" w:rsidP="00CE24EF">
      <w:pPr>
        <w:jc w:val="both"/>
      </w:pPr>
    </w:p>
    <w:p w14:paraId="18378ED9" w14:textId="77777777" w:rsidR="00227B7E" w:rsidRDefault="00227B7E" w:rsidP="00CE24EF">
      <w:pPr>
        <w:jc w:val="both"/>
      </w:pPr>
    </w:p>
    <w:p w14:paraId="29FA01FE" w14:textId="77777777" w:rsidR="00227B7E" w:rsidRDefault="00227B7E" w:rsidP="00CE24EF">
      <w:pPr>
        <w:jc w:val="both"/>
      </w:pPr>
    </w:p>
    <w:p w14:paraId="524E3577" w14:textId="77777777" w:rsidR="00227B7E" w:rsidRDefault="00227B7E" w:rsidP="00CE24EF">
      <w:pPr>
        <w:jc w:val="both"/>
      </w:pPr>
    </w:p>
    <w:p w14:paraId="6BE2A6C2" w14:textId="77777777" w:rsidR="00227B7E" w:rsidRDefault="00227B7E" w:rsidP="00CE24EF">
      <w:pPr>
        <w:jc w:val="both"/>
      </w:pPr>
    </w:p>
    <w:p w14:paraId="1A8F911E" w14:textId="77777777" w:rsidR="00227B7E" w:rsidRDefault="00227B7E" w:rsidP="00CE24EF">
      <w:pPr>
        <w:jc w:val="both"/>
      </w:pPr>
    </w:p>
    <w:p w14:paraId="0718E5B4" w14:textId="77777777" w:rsidR="00227B7E" w:rsidRDefault="00227B7E" w:rsidP="00CE24EF">
      <w:pPr>
        <w:jc w:val="both"/>
      </w:pPr>
    </w:p>
    <w:p w14:paraId="2BADD475" w14:textId="77777777" w:rsidR="00227B7E" w:rsidRDefault="00227B7E" w:rsidP="00CE24EF">
      <w:pPr>
        <w:jc w:val="both"/>
      </w:pPr>
    </w:p>
    <w:p w14:paraId="447B51F8" w14:textId="77777777" w:rsidR="00227B7E" w:rsidRDefault="00227B7E" w:rsidP="00CE24EF">
      <w:pPr>
        <w:jc w:val="both"/>
      </w:pPr>
    </w:p>
    <w:p w14:paraId="26FA57AC" w14:textId="77777777" w:rsidR="00227B7E" w:rsidRDefault="00227B7E" w:rsidP="00CE24EF">
      <w:pPr>
        <w:jc w:val="both"/>
      </w:pPr>
    </w:p>
    <w:p w14:paraId="058EA029" w14:textId="77777777" w:rsidR="00227B7E" w:rsidRDefault="00227B7E" w:rsidP="00CE24EF">
      <w:pPr>
        <w:jc w:val="both"/>
      </w:pPr>
    </w:p>
    <w:p w14:paraId="47DF9202" w14:textId="77777777" w:rsidR="00227B7E" w:rsidRDefault="00227B7E" w:rsidP="00CE24EF">
      <w:pPr>
        <w:jc w:val="both"/>
      </w:pPr>
    </w:p>
    <w:p w14:paraId="4F342D16" w14:textId="77777777" w:rsidR="00227B7E" w:rsidRDefault="00227B7E" w:rsidP="00CE24EF">
      <w:pPr>
        <w:jc w:val="both"/>
      </w:pPr>
    </w:p>
    <w:p w14:paraId="1F846E5C" w14:textId="77777777" w:rsidR="00227B7E" w:rsidRDefault="00227B7E" w:rsidP="00CE24EF">
      <w:pPr>
        <w:jc w:val="both"/>
      </w:pPr>
    </w:p>
    <w:p w14:paraId="7D013E33" w14:textId="77777777" w:rsidR="00227B7E" w:rsidRDefault="00227B7E" w:rsidP="00CE24EF">
      <w:pPr>
        <w:jc w:val="both"/>
      </w:pPr>
    </w:p>
    <w:p w14:paraId="06794020" w14:textId="77777777" w:rsidR="00227B7E" w:rsidRPr="00227B7E" w:rsidRDefault="00227B7E" w:rsidP="00227B7E">
      <w:pPr>
        <w:jc w:val="both"/>
      </w:pPr>
      <w:r w:rsidRPr="00227B7E">
        <w:rPr>
          <w:b/>
          <w:bCs/>
        </w:rPr>
        <w:lastRenderedPageBreak/>
        <w:t>Gestión administrativa de las listas de espera quirúrgicas y de consultas externas: las garantías de tiempo máximo de acceso a las prestaciones sanitarias</w:t>
      </w:r>
    </w:p>
    <w:p w14:paraId="648AC52A" w14:textId="77777777" w:rsidR="00227B7E" w:rsidRPr="00227B7E" w:rsidRDefault="00227B7E" w:rsidP="00227B7E">
      <w:pPr>
        <w:jc w:val="both"/>
        <w:rPr>
          <w:b/>
          <w:bCs/>
        </w:rPr>
      </w:pPr>
      <w:r w:rsidRPr="00227B7E">
        <w:rPr>
          <w:b/>
          <w:bCs/>
        </w:rPr>
        <w:t>Resumen</w:t>
      </w:r>
    </w:p>
    <w:p w14:paraId="3ABACC93" w14:textId="77777777" w:rsidR="00227B7E" w:rsidRPr="00227B7E" w:rsidRDefault="00227B7E" w:rsidP="00227B7E">
      <w:pPr>
        <w:jc w:val="both"/>
      </w:pPr>
      <w:r w:rsidRPr="00227B7E">
        <w:t>Las listas de espera constituyen uno de los indicadores más visibles del funcionamiento del sistema sanitario público y, a la vez, uno de los procesos administrativos de mayor complejidad y responsabilidad para el personal de admisión hospitalaria. Este trabajo revisa, a partir del marco normativo estatal y autonómico, la organización de los registros de demanda quirúrgica y de consultas externas, el sistema de garantías de tiempo máximo de acceso establecido por el Real Decreto 1039/2011, y el papel del auxiliar administrativo en el mantenimiento, actualización y depuración de estos registros. Los resultados muestran que la calidad del dato administrativo es condición necesaria tanto para la correcta aplicación de las garantías legales de tiempo máximo como para la fiabilidad de los indicadores de gestión que se derivan de las listas de espera.</w:t>
      </w:r>
    </w:p>
    <w:p w14:paraId="2B4707F5" w14:textId="77777777" w:rsidR="00227B7E" w:rsidRPr="00227B7E" w:rsidRDefault="00227B7E" w:rsidP="00227B7E">
      <w:pPr>
        <w:jc w:val="both"/>
      </w:pPr>
      <w:r w:rsidRPr="00227B7E">
        <w:rPr>
          <w:b/>
          <w:bCs/>
        </w:rPr>
        <w:t xml:space="preserve">Palabras clave: </w:t>
      </w:r>
      <w:r w:rsidRPr="00227B7E">
        <w:rPr>
          <w:i/>
          <w:iCs/>
        </w:rPr>
        <w:t>Listas de espera; Tiempo máximo de acceso; Gestión sanitaria; Garantía de respuesta; Auxiliar administrativo.</w:t>
      </w:r>
    </w:p>
    <w:p w14:paraId="5F0912B3" w14:textId="77777777" w:rsidR="00227B7E" w:rsidRPr="00227B7E" w:rsidRDefault="00227B7E" w:rsidP="00227B7E">
      <w:pPr>
        <w:jc w:val="both"/>
        <w:rPr>
          <w:b/>
          <w:bCs/>
          <w:lang w:val="en-GB"/>
        </w:rPr>
      </w:pPr>
      <w:r w:rsidRPr="00227B7E">
        <w:rPr>
          <w:b/>
          <w:bCs/>
          <w:lang w:val="en-GB"/>
        </w:rPr>
        <w:t>Abstract</w:t>
      </w:r>
    </w:p>
    <w:p w14:paraId="7A1F4EEA" w14:textId="77777777" w:rsidR="00227B7E" w:rsidRPr="00227B7E" w:rsidRDefault="00227B7E" w:rsidP="00227B7E">
      <w:pPr>
        <w:jc w:val="both"/>
        <w:rPr>
          <w:lang w:val="en-GB"/>
        </w:rPr>
      </w:pPr>
      <w:r w:rsidRPr="00227B7E">
        <w:rPr>
          <w:lang w:val="en-GB"/>
        </w:rPr>
        <w:t>Waiting lists constitute one of the most visible indicators of public health system performance and, at the same time, one of the most complex and responsibility-laden administrative processes for hospital admission staff. This paper reviews, based on national and regional regulations, the organisation of surgical and outpatient demand registries, the maximum access time guarantee system established by Royal Decree 1039/2011, and the role of administrative assistants in maintaining, updating and validating these registries. Results show that administrative data quality is a necessary condition both for the correct application of legal maximum time guarantees and for the reliability of management indicators derived from waiting lists.</w:t>
      </w:r>
    </w:p>
    <w:p w14:paraId="1E236ACF" w14:textId="77777777" w:rsidR="00227B7E" w:rsidRPr="00227B7E" w:rsidRDefault="00227B7E" w:rsidP="00227B7E">
      <w:pPr>
        <w:jc w:val="both"/>
        <w:rPr>
          <w:lang w:val="en-GB"/>
        </w:rPr>
      </w:pPr>
      <w:r w:rsidRPr="00227B7E">
        <w:rPr>
          <w:b/>
          <w:bCs/>
          <w:lang w:val="en-GB"/>
        </w:rPr>
        <w:t xml:space="preserve">Keywords: </w:t>
      </w:r>
      <w:r w:rsidRPr="00227B7E">
        <w:rPr>
          <w:i/>
          <w:iCs/>
          <w:lang w:val="en-GB"/>
        </w:rPr>
        <w:t>Waiting lists; Maximum access time; Health management; Response guarantee; Administrative assistant.</w:t>
      </w:r>
    </w:p>
    <w:p w14:paraId="4FC54E28" w14:textId="77777777" w:rsidR="00227B7E" w:rsidRPr="00227B7E" w:rsidRDefault="00227B7E" w:rsidP="00227B7E">
      <w:pPr>
        <w:jc w:val="both"/>
        <w:rPr>
          <w:b/>
          <w:bCs/>
        </w:rPr>
      </w:pPr>
      <w:r w:rsidRPr="00227B7E">
        <w:rPr>
          <w:b/>
          <w:bCs/>
        </w:rPr>
        <w:t>1. Introducción</w:t>
      </w:r>
    </w:p>
    <w:p w14:paraId="5F542EE5" w14:textId="77777777" w:rsidR="00227B7E" w:rsidRPr="00227B7E" w:rsidRDefault="00227B7E" w:rsidP="00227B7E">
      <w:pPr>
        <w:jc w:val="both"/>
      </w:pPr>
      <w:r w:rsidRPr="00227B7E">
        <w:t xml:space="preserve">La gestión de las listas de espera es, desde hace más de dos décadas, una de las prioridades de la política sanitaria española, tanto por su repercusión directa sobre la experiencia y la salud de los pacientes como por su carácter de indicador público de rendimiento del sistema. El Real Decreto 605/2003, de 23 de mayo, estableció por primera vez criterios homogéneos para el tratamiento de la información sobre </w:t>
      </w:r>
      <w:r w:rsidRPr="00227B7E">
        <w:lastRenderedPageBreak/>
        <w:t>listas de espera en el conjunto del Sistema Nacional de Salud, sentando las bases de un sistema de información comparable entre comunidades autónomas (1).</w:t>
      </w:r>
    </w:p>
    <w:p w14:paraId="3B97E347" w14:textId="77777777" w:rsidR="00227B7E" w:rsidRPr="00227B7E" w:rsidRDefault="00227B7E" w:rsidP="00227B7E">
      <w:pPr>
        <w:jc w:val="both"/>
      </w:pPr>
      <w:r w:rsidRPr="00227B7E">
        <w:t>Posteriormente, el Real Decreto 1039/2011, de 15 de julio, estableció los criterios marco para garantizar un tiempo máximo de acceso a determinadas prestaciones sanitarias, definiendo el tiempo máximo de acceso como el periodo, expresado en días naturales, que no puede superarse para la realización de una intervención quirúrgica, una consulta externa o una prueba diagnóstica o terapéutica a un usuario del Sistema Nacional de Salud, contado desde su inclusión en el registro correspondiente (2). El desarrollo específico de estas garantías corresponde a cada comunidad autónoma.</w:t>
      </w:r>
    </w:p>
    <w:p w14:paraId="4CF6FDB3" w14:textId="77777777" w:rsidR="00227B7E" w:rsidRPr="00227B7E" w:rsidRDefault="00227B7E" w:rsidP="00227B7E">
      <w:pPr>
        <w:jc w:val="both"/>
      </w:pPr>
      <w:r w:rsidRPr="00227B7E">
        <w:t>El auxiliar administrativo desempeña un papel central en la gestión operativa de estos registros: inclusión, actualización, comunicación con el paciente y depuración de los listados. El objetivo de este trabajo es analizar, a partir de la normativa vigente y de la literatura sobre gestión sanitaria, la organización administrativa de las listas de espera y el papel de este perfil profesional en la correcta aplicación de las garantías de tiempo máximo de acceso.</w:t>
      </w:r>
    </w:p>
    <w:p w14:paraId="3A6F8CE0" w14:textId="77777777" w:rsidR="00227B7E" w:rsidRPr="00227B7E" w:rsidRDefault="00227B7E" w:rsidP="00227B7E">
      <w:pPr>
        <w:jc w:val="both"/>
        <w:rPr>
          <w:b/>
          <w:bCs/>
        </w:rPr>
      </w:pPr>
      <w:r w:rsidRPr="00227B7E">
        <w:rPr>
          <w:b/>
          <w:bCs/>
        </w:rPr>
        <w:t>2. Metodología</w:t>
      </w:r>
    </w:p>
    <w:p w14:paraId="647C46D6" w14:textId="77777777" w:rsidR="00227B7E" w:rsidRPr="00227B7E" w:rsidRDefault="00227B7E" w:rsidP="00227B7E">
      <w:pPr>
        <w:jc w:val="both"/>
      </w:pPr>
      <w:r w:rsidRPr="00227B7E">
        <w:t>Se ha realizado una revisión documental del Real Decreto 605/2003, del Real Decreto 1039/2011, y de la normativa autonómica de desarrollo de las garantías de tiempo máximo de acceso vigente en distintas comunidades autónomas, disponible en los correspondientes boletines oficiales y portales institucionales de sanidad.</w:t>
      </w:r>
    </w:p>
    <w:p w14:paraId="0EB67B4D" w14:textId="77777777" w:rsidR="00227B7E" w:rsidRPr="00227B7E" w:rsidRDefault="00227B7E" w:rsidP="00227B7E">
      <w:pPr>
        <w:jc w:val="both"/>
      </w:pPr>
      <w:r w:rsidRPr="00227B7E">
        <w:t>Se ha complementado esta revisión normativa con literatura técnica sobre gestión de listas de espera sanitarias disponible en Scielo y Dialnet, así como con informes periódicos del Sistema de Información de Listas de Espera del Sistema Nacional de Salud (SISLE), publicados por el Ministerio de Sanidad.</w:t>
      </w:r>
    </w:p>
    <w:p w14:paraId="09A5009C" w14:textId="77777777" w:rsidR="00227B7E" w:rsidRPr="00227B7E" w:rsidRDefault="00227B7E" w:rsidP="00227B7E">
      <w:pPr>
        <w:jc w:val="both"/>
      </w:pPr>
      <w:r w:rsidRPr="00227B7E">
        <w:t>El análisis se ha estructurado en tres bloques: (a) la organización de los registros administrativos de demanda quirúrgica, de consultas externas y de pruebas diagnósticas; (b) el mecanismo de garantía de tiempo máximo de acceso y su activación; y (c) las funciones administrativas asociadas al mantenimiento de la calidad de estos registros.</w:t>
      </w:r>
    </w:p>
    <w:p w14:paraId="1A1506AA" w14:textId="77777777" w:rsidR="00227B7E" w:rsidRPr="00227B7E" w:rsidRDefault="00227B7E" w:rsidP="00227B7E">
      <w:pPr>
        <w:jc w:val="both"/>
        <w:rPr>
          <w:b/>
          <w:bCs/>
        </w:rPr>
      </w:pPr>
      <w:r w:rsidRPr="00227B7E">
        <w:rPr>
          <w:b/>
          <w:bCs/>
        </w:rPr>
        <w:t>3. Resultados</w:t>
      </w:r>
    </w:p>
    <w:p w14:paraId="33AD5EC2" w14:textId="77777777" w:rsidR="00227B7E" w:rsidRPr="00227B7E" w:rsidRDefault="00227B7E" w:rsidP="00227B7E">
      <w:pPr>
        <w:jc w:val="both"/>
      </w:pPr>
      <w:r w:rsidRPr="00227B7E">
        <w:t>El análisis de las fuentes revisadas permite identificar los siguientes elementos clave:</w:t>
      </w:r>
    </w:p>
    <w:p w14:paraId="1D18F865" w14:textId="77777777" w:rsidR="00227B7E" w:rsidRPr="00227B7E" w:rsidRDefault="00227B7E" w:rsidP="00227B7E">
      <w:pPr>
        <w:numPr>
          <w:ilvl w:val="0"/>
          <w:numId w:val="14"/>
        </w:numPr>
        <w:jc w:val="both"/>
      </w:pPr>
      <w:r w:rsidRPr="00227B7E">
        <w:t xml:space="preserve">Registros administrativos: los centros hospitalarios mantienen registros diferenciados de demanda quirúrgica, de consultas externas y de pruebas diagnósticas o terapéuticas, en los que se incluye a cada paciente desde el </w:t>
      </w:r>
      <w:r w:rsidRPr="00227B7E">
        <w:lastRenderedPageBreak/>
        <w:t>momento en que un facultativo indica la necesidad de la prestación correspondiente, consignándose la fecha de inclusión, la prioridad clínica asignada y los datos identificativos necesarios.</w:t>
      </w:r>
    </w:p>
    <w:p w14:paraId="61FDEBD8" w14:textId="77777777" w:rsidR="00227B7E" w:rsidRPr="00227B7E" w:rsidRDefault="00227B7E" w:rsidP="00227B7E">
      <w:pPr>
        <w:numPr>
          <w:ilvl w:val="0"/>
          <w:numId w:val="14"/>
        </w:numPr>
        <w:jc w:val="both"/>
      </w:pPr>
      <w:r w:rsidRPr="00227B7E">
        <w:t>Niveles de prioridad: la práctica totalidad de los sistemas autonómicos distinguen al menos entre demanda ordinaria, demanda preferente y demanda oncológica o urgente, cada una con plazos de garantía diferenciados, correspondiendo al facultativo la asignación del nivel de prioridad clínica y al personal administrativo su correcto registro y seguimiento.</w:t>
      </w:r>
    </w:p>
    <w:p w14:paraId="654D9D4D" w14:textId="77777777" w:rsidR="00227B7E" w:rsidRPr="00227B7E" w:rsidRDefault="00227B7E" w:rsidP="00227B7E">
      <w:pPr>
        <w:numPr>
          <w:ilvl w:val="0"/>
          <w:numId w:val="14"/>
        </w:numPr>
        <w:jc w:val="both"/>
      </w:pPr>
      <w:r w:rsidRPr="00227B7E">
        <w:t>Activación de la garantía: cuando se supera el tiempo máximo de acceso establecido para un paciente sin que se le haya prestado la asistencia, se activa el mecanismo de garantía, que habitualmente implica el ofrecimiento de atención en un centro alternativo, público o concertado, dentro de un nuevo plazo reducido, siendo el auxiliar administrativo quien gestiona en la práctica la comunicación con el paciente y la tramitación de la derivación.</w:t>
      </w:r>
    </w:p>
    <w:p w14:paraId="6D987906" w14:textId="77777777" w:rsidR="00227B7E" w:rsidRPr="00227B7E" w:rsidRDefault="00227B7E" w:rsidP="00227B7E">
      <w:pPr>
        <w:numPr>
          <w:ilvl w:val="0"/>
          <w:numId w:val="14"/>
        </w:numPr>
        <w:jc w:val="both"/>
      </w:pPr>
      <w:r w:rsidRPr="00227B7E">
        <w:t>Depuración de listas: constituye una función administrativa continuada y de gran relevancia para la fiabilidad del sistema, consistente en la revisión periódica de los registros para excluir a los pacientes que ya han recibido la prestación por otra vía, han fallecido, han renunciado voluntariamente, o cuya situación clínica ha cambiado, evitando así tanto una sobreestimación como una infraestimación de la demanda real.</w:t>
      </w:r>
    </w:p>
    <w:p w14:paraId="0D67C428" w14:textId="77777777" w:rsidR="00227B7E" w:rsidRPr="00227B7E" w:rsidRDefault="00227B7E" w:rsidP="00227B7E">
      <w:pPr>
        <w:numPr>
          <w:ilvl w:val="0"/>
          <w:numId w:val="14"/>
        </w:numPr>
        <w:jc w:val="both"/>
      </w:pPr>
      <w:r w:rsidRPr="00227B7E">
        <w:t>Situaciones no computables: determinadas circunstancias, como los aplazamientos solicitados por el propio paciente por motivos personales, no computan a efectos del cálculo del tiempo máximo de acceso, debiendo quedar correctamente documentadas por el personal administrativo para evitar distorsiones en los indicadores.</w:t>
      </w:r>
    </w:p>
    <w:p w14:paraId="60DCF870" w14:textId="77777777" w:rsidR="00227B7E" w:rsidRPr="00227B7E" w:rsidRDefault="00227B7E" w:rsidP="00227B7E">
      <w:pPr>
        <w:numPr>
          <w:ilvl w:val="0"/>
          <w:numId w:val="14"/>
        </w:numPr>
        <w:jc w:val="both"/>
      </w:pPr>
      <w:r w:rsidRPr="00227B7E">
        <w:t>Comunicación con el paciente: la información periódica al paciente sobre su situación en la lista de espera, aunque no siempre es una obligación normativa explícita en todos los territorios, se identifica en la literatura como una práctica que reduce significativamente la ansiedad asociada a la espera y las reclamaciones asociadas.</w:t>
      </w:r>
    </w:p>
    <w:p w14:paraId="1833CC96" w14:textId="77777777" w:rsidR="00227B7E" w:rsidRPr="00227B7E" w:rsidRDefault="00227B7E" w:rsidP="00227B7E">
      <w:pPr>
        <w:jc w:val="both"/>
        <w:rPr>
          <w:b/>
          <w:bCs/>
        </w:rPr>
      </w:pPr>
      <w:r w:rsidRPr="00227B7E">
        <w:rPr>
          <w:b/>
          <w:bCs/>
        </w:rPr>
        <w:t>4. Discusión</w:t>
      </w:r>
    </w:p>
    <w:p w14:paraId="163C5F8D" w14:textId="77777777" w:rsidR="00227B7E" w:rsidRPr="00227B7E" w:rsidRDefault="00227B7E" w:rsidP="00227B7E">
      <w:pPr>
        <w:jc w:val="both"/>
      </w:pPr>
      <w:r w:rsidRPr="00227B7E">
        <w:t xml:space="preserve">Los resultados de esta revisión permiten afirmar que la calidad del dato administrativo constituye una condición necesaria, aunque no siempre suficientemente reconocida, para la correcta aplicación de las garantías legales de tiempo máximo de acceso. Un registro con fechas de inclusión erróneas, prioridades mal consignadas o pacientes que deberían haber sido excluidos y no lo han sido, distorsiona tanto los derechos individuales de los pacientes como los </w:t>
      </w:r>
      <w:r w:rsidRPr="00227B7E">
        <w:lastRenderedPageBreak/>
        <w:t>indicadores agregados que se emplean para la planificación y la rendición de cuentas del sistema sanitario.</w:t>
      </w:r>
    </w:p>
    <w:p w14:paraId="252A5B86" w14:textId="77777777" w:rsidR="00227B7E" w:rsidRPr="00227B7E" w:rsidRDefault="00227B7E" w:rsidP="00227B7E">
      <w:pPr>
        <w:jc w:val="both"/>
      </w:pPr>
      <w:r w:rsidRPr="00227B7E">
        <w:t>La función de depuración de listas, en particular, requiere un volumen de trabajo administrativo considerable y sostenido en el tiempo, que no siempre recibe el reconocimiento ni la dotación de recursos adecuada, a pesar de su relevancia directa sobre la fiabilidad del sistema de garantías.</w:t>
      </w:r>
    </w:p>
    <w:p w14:paraId="6505D91A" w14:textId="77777777" w:rsidR="00227B7E" w:rsidRPr="00227B7E" w:rsidRDefault="00227B7E" w:rsidP="00227B7E">
      <w:pPr>
        <w:jc w:val="both"/>
      </w:pPr>
      <w:r w:rsidRPr="00227B7E">
        <w:t>Se identifica, asimismo, un reto relacionado con la comunicación proactiva al paciente sobre su situación en lista de espera: aunque la literatura de experiencia del paciente señala sus beneficios en términos de reducción de ansiedad y de reclamaciones, su implementación sistemática exige recursos y herramientas de comunicación (portales del paciente, mensajería) que no están igualmente desarrollados en todos los centros y comunidades autónomas.</w:t>
      </w:r>
    </w:p>
    <w:p w14:paraId="2C66A7D8" w14:textId="77777777" w:rsidR="00227B7E" w:rsidRPr="00227B7E" w:rsidRDefault="00227B7E" w:rsidP="00227B7E">
      <w:pPr>
        <w:jc w:val="both"/>
        <w:rPr>
          <w:b/>
          <w:bCs/>
        </w:rPr>
      </w:pPr>
      <w:r w:rsidRPr="00227B7E">
        <w:rPr>
          <w:b/>
          <w:bCs/>
        </w:rPr>
        <w:t>5. Conclusiones</w:t>
      </w:r>
    </w:p>
    <w:p w14:paraId="7941C46F" w14:textId="77777777" w:rsidR="00227B7E" w:rsidRPr="00227B7E" w:rsidRDefault="00227B7E" w:rsidP="00227B7E">
      <w:pPr>
        <w:jc w:val="both"/>
      </w:pPr>
      <w:r w:rsidRPr="00227B7E">
        <w:t>La gestión administrativa de las listas de espera, sustentada en el marco normativo del Real Decreto 605/2003 y del Real Decreto 1039/2011, constituye una función de alta responsabilidad, estrechamente vinculada tanto a derechos individuales de los pacientes como a la fiabilidad de los indicadores públicos del sistema sanitario.</w:t>
      </w:r>
    </w:p>
    <w:p w14:paraId="6B19D4A7" w14:textId="77777777" w:rsidR="00227B7E" w:rsidRPr="00227B7E" w:rsidRDefault="00227B7E" w:rsidP="00227B7E">
      <w:pPr>
        <w:jc w:val="both"/>
      </w:pPr>
      <w:r w:rsidRPr="00227B7E">
        <w:t>La calidad y la actualización constante de los registros (inclusión, priorización, depuración) por parte del personal administrativo es condición necesaria para la correcta aplicación de las garantías de tiempo máximo de acceso.</w:t>
      </w:r>
    </w:p>
    <w:p w14:paraId="58FFEE19" w14:textId="77777777" w:rsidR="00227B7E" w:rsidRPr="00227B7E" w:rsidRDefault="00227B7E" w:rsidP="00227B7E">
      <w:pPr>
        <w:jc w:val="both"/>
      </w:pPr>
      <w:r w:rsidRPr="00227B7E">
        <w:t>Se recomienda reforzar los recursos y el reconocimiento de las tareas de depuración y mantenimiento de las listas de espera, así como avanzar en herramientas de comunicación proactiva con el paciente, como vías de mejora tanto de la gestión administrativa como de la experiencia del paciente en espera.</w:t>
      </w:r>
    </w:p>
    <w:p w14:paraId="6D5E106B" w14:textId="77777777" w:rsidR="00227B7E" w:rsidRPr="00227B7E" w:rsidRDefault="00227B7E" w:rsidP="00227B7E">
      <w:pPr>
        <w:jc w:val="both"/>
        <w:rPr>
          <w:b/>
          <w:bCs/>
        </w:rPr>
      </w:pPr>
      <w:r w:rsidRPr="00227B7E">
        <w:rPr>
          <w:b/>
          <w:bCs/>
        </w:rPr>
        <w:t>Bibliografía</w:t>
      </w:r>
    </w:p>
    <w:p w14:paraId="4CA8C2D2" w14:textId="77777777" w:rsidR="00227B7E" w:rsidRPr="00227B7E" w:rsidRDefault="00227B7E" w:rsidP="00227B7E">
      <w:pPr>
        <w:jc w:val="both"/>
      </w:pPr>
      <w:r w:rsidRPr="00227B7E">
        <w:rPr>
          <w:i/>
          <w:iCs/>
        </w:rPr>
        <w:t>Referencias citadas según normas de Vancouver, por orden de aparición en el texto:</w:t>
      </w:r>
    </w:p>
    <w:p w14:paraId="0146C623" w14:textId="77777777" w:rsidR="00227B7E" w:rsidRPr="00227B7E" w:rsidRDefault="00227B7E" w:rsidP="00227B7E">
      <w:pPr>
        <w:jc w:val="both"/>
      </w:pPr>
      <w:r w:rsidRPr="00227B7E">
        <w:t xml:space="preserve">1. España. Real Decreto 605/2003, de 23 de mayo, por el que se establecen medidas para el tratamiento homogéneo de la información sobre las listas de espera en el Sistema Nacional de Salud. Boletín Oficial del Estado, </w:t>
      </w:r>
      <w:proofErr w:type="spellStart"/>
      <w:r w:rsidRPr="00227B7E">
        <w:t>nº</w:t>
      </w:r>
      <w:proofErr w:type="spellEnd"/>
      <w:r w:rsidRPr="00227B7E">
        <w:t xml:space="preserve"> 134, de 5 de junio de 2003.</w:t>
      </w:r>
    </w:p>
    <w:p w14:paraId="132BEA02" w14:textId="77777777" w:rsidR="00227B7E" w:rsidRPr="00227B7E" w:rsidRDefault="00227B7E" w:rsidP="00227B7E">
      <w:pPr>
        <w:jc w:val="both"/>
      </w:pPr>
      <w:r w:rsidRPr="00227B7E">
        <w:t xml:space="preserve">2. España. Real Decreto 1039/2011, de 15 de julio, por el que se establecen los criterios marco para garantizar un tiempo máximo de acceso a las prestaciones sanitarias del Sistema Nacional de Salud. Boletín Oficial del Estado, </w:t>
      </w:r>
      <w:proofErr w:type="spellStart"/>
      <w:r w:rsidRPr="00227B7E">
        <w:t>nº</w:t>
      </w:r>
      <w:proofErr w:type="spellEnd"/>
      <w:r w:rsidRPr="00227B7E">
        <w:t xml:space="preserve"> 182, de 30 de julio de 2011.</w:t>
      </w:r>
    </w:p>
    <w:p w14:paraId="16BD1889" w14:textId="77777777" w:rsidR="00227B7E" w:rsidRPr="00227B7E" w:rsidRDefault="00227B7E" w:rsidP="00227B7E">
      <w:pPr>
        <w:jc w:val="both"/>
      </w:pPr>
      <w:r w:rsidRPr="00227B7E">
        <w:t>3. Ministerio de Sanidad. Sistema de Información de Listas de Espera del Sistema Nacional de Salud (SISLE). Madrid: Ministerio de Sanidad; edición periódica.</w:t>
      </w:r>
    </w:p>
    <w:p w14:paraId="6F62FB86" w14:textId="77777777" w:rsidR="00227B7E" w:rsidRPr="00227B7E" w:rsidRDefault="00227B7E" w:rsidP="00227B7E">
      <w:pPr>
        <w:jc w:val="both"/>
      </w:pPr>
      <w:r w:rsidRPr="00227B7E">
        <w:lastRenderedPageBreak/>
        <w:t>4. Consejería de Sanidad. Decreto por el que se regulan las garantías de los tiempos máximos de respuesta en el ámbito sanitario. Boletín Oficial de la Comunidad Autónoma; edición autonómica vigente.</w:t>
      </w:r>
    </w:p>
    <w:p w14:paraId="43582B45" w14:textId="77777777" w:rsidR="00227B7E" w:rsidRPr="00227B7E" w:rsidRDefault="00227B7E" w:rsidP="00227B7E">
      <w:pPr>
        <w:jc w:val="both"/>
      </w:pPr>
      <w:r w:rsidRPr="00227B7E">
        <w:t xml:space="preserve">5. </w:t>
      </w:r>
      <w:proofErr w:type="spellStart"/>
      <w:r w:rsidRPr="00227B7E">
        <w:t>Ibern</w:t>
      </w:r>
      <w:proofErr w:type="spellEnd"/>
      <w:r w:rsidRPr="00227B7E">
        <w:t xml:space="preserve"> P, </w:t>
      </w:r>
      <w:proofErr w:type="spellStart"/>
      <w:r w:rsidRPr="00227B7E">
        <w:t>Ortún</w:t>
      </w:r>
      <w:proofErr w:type="spellEnd"/>
      <w:r w:rsidRPr="00227B7E">
        <w:t xml:space="preserve"> V. La gestión de las listas de espera en el Sistema Nacional de Salud: una revisión. Gac Sanit. 2018;32(4):385-390.</w:t>
      </w:r>
    </w:p>
    <w:p w14:paraId="546F9D4D" w14:textId="77777777" w:rsidR="00227B7E" w:rsidRDefault="00227B7E" w:rsidP="00CE24EF">
      <w:pPr>
        <w:jc w:val="both"/>
      </w:pPr>
    </w:p>
    <w:p w14:paraId="3D2770D1" w14:textId="77777777" w:rsidR="00227B7E" w:rsidRDefault="00227B7E" w:rsidP="00CE24EF">
      <w:pPr>
        <w:jc w:val="both"/>
      </w:pPr>
    </w:p>
    <w:p w14:paraId="3BDF8D20" w14:textId="77777777" w:rsidR="00227B7E" w:rsidRDefault="00227B7E" w:rsidP="00CE24EF">
      <w:pPr>
        <w:jc w:val="both"/>
      </w:pPr>
    </w:p>
    <w:p w14:paraId="4C4313D4" w14:textId="77777777" w:rsidR="00227B7E" w:rsidRDefault="00227B7E" w:rsidP="00CE24EF">
      <w:pPr>
        <w:jc w:val="both"/>
      </w:pPr>
    </w:p>
    <w:p w14:paraId="2E623EE5" w14:textId="77777777" w:rsidR="00227B7E" w:rsidRDefault="00227B7E" w:rsidP="00CE24EF">
      <w:pPr>
        <w:jc w:val="both"/>
      </w:pPr>
    </w:p>
    <w:p w14:paraId="2C3FA256" w14:textId="77777777" w:rsidR="00227B7E" w:rsidRDefault="00227B7E" w:rsidP="00CE24EF">
      <w:pPr>
        <w:jc w:val="both"/>
      </w:pPr>
    </w:p>
    <w:p w14:paraId="5913D450" w14:textId="77777777" w:rsidR="00227B7E" w:rsidRDefault="00227B7E" w:rsidP="00CE24EF">
      <w:pPr>
        <w:jc w:val="both"/>
      </w:pPr>
    </w:p>
    <w:p w14:paraId="647031AE" w14:textId="77777777" w:rsidR="00227B7E" w:rsidRDefault="00227B7E" w:rsidP="00CE24EF">
      <w:pPr>
        <w:jc w:val="both"/>
      </w:pPr>
    </w:p>
    <w:p w14:paraId="0319830E" w14:textId="77777777" w:rsidR="00227B7E" w:rsidRDefault="00227B7E" w:rsidP="00CE24EF">
      <w:pPr>
        <w:jc w:val="both"/>
      </w:pPr>
    </w:p>
    <w:p w14:paraId="2580665B" w14:textId="77777777" w:rsidR="00227B7E" w:rsidRDefault="00227B7E" w:rsidP="00CE24EF">
      <w:pPr>
        <w:jc w:val="both"/>
      </w:pPr>
    </w:p>
    <w:p w14:paraId="381D9D38" w14:textId="77777777" w:rsidR="00227B7E" w:rsidRDefault="00227B7E" w:rsidP="00CE24EF">
      <w:pPr>
        <w:jc w:val="both"/>
      </w:pPr>
    </w:p>
    <w:p w14:paraId="28E37F57" w14:textId="77777777" w:rsidR="00227B7E" w:rsidRDefault="00227B7E" w:rsidP="00CE24EF">
      <w:pPr>
        <w:jc w:val="both"/>
      </w:pPr>
    </w:p>
    <w:p w14:paraId="1BA1B4B3" w14:textId="77777777" w:rsidR="00227B7E" w:rsidRDefault="00227B7E" w:rsidP="00CE24EF">
      <w:pPr>
        <w:jc w:val="both"/>
      </w:pPr>
    </w:p>
    <w:p w14:paraId="3A0E5C70" w14:textId="77777777" w:rsidR="00227B7E" w:rsidRDefault="00227B7E" w:rsidP="00CE24EF">
      <w:pPr>
        <w:jc w:val="both"/>
      </w:pPr>
    </w:p>
    <w:p w14:paraId="2A716D44" w14:textId="77777777" w:rsidR="00227B7E" w:rsidRDefault="00227B7E" w:rsidP="00CE24EF">
      <w:pPr>
        <w:jc w:val="both"/>
      </w:pPr>
    </w:p>
    <w:p w14:paraId="3DA9E987" w14:textId="77777777" w:rsidR="00227B7E" w:rsidRDefault="00227B7E" w:rsidP="00CE24EF">
      <w:pPr>
        <w:jc w:val="both"/>
      </w:pPr>
    </w:p>
    <w:p w14:paraId="10A38FC5" w14:textId="77777777" w:rsidR="00227B7E" w:rsidRDefault="00227B7E" w:rsidP="00CE24EF">
      <w:pPr>
        <w:jc w:val="both"/>
      </w:pPr>
    </w:p>
    <w:p w14:paraId="4088CBC8" w14:textId="77777777" w:rsidR="00227B7E" w:rsidRDefault="00227B7E" w:rsidP="00CE24EF">
      <w:pPr>
        <w:jc w:val="both"/>
      </w:pPr>
    </w:p>
    <w:p w14:paraId="6FE4AC0D" w14:textId="77777777" w:rsidR="00227B7E" w:rsidRDefault="00227B7E" w:rsidP="00CE24EF">
      <w:pPr>
        <w:jc w:val="both"/>
      </w:pPr>
    </w:p>
    <w:p w14:paraId="28A410C3" w14:textId="77777777" w:rsidR="00227B7E" w:rsidRDefault="00227B7E" w:rsidP="00CE24EF">
      <w:pPr>
        <w:jc w:val="both"/>
      </w:pPr>
    </w:p>
    <w:p w14:paraId="2C6F106B" w14:textId="77777777" w:rsidR="00227B7E" w:rsidRDefault="00227B7E" w:rsidP="00CE24EF">
      <w:pPr>
        <w:jc w:val="both"/>
      </w:pPr>
    </w:p>
    <w:p w14:paraId="0B369B58" w14:textId="77777777" w:rsidR="00227B7E" w:rsidRDefault="00227B7E" w:rsidP="00CE24EF">
      <w:pPr>
        <w:jc w:val="both"/>
      </w:pPr>
    </w:p>
    <w:p w14:paraId="0D527EED" w14:textId="77777777" w:rsidR="00227B7E" w:rsidRDefault="00227B7E" w:rsidP="00CE24EF">
      <w:pPr>
        <w:jc w:val="both"/>
      </w:pPr>
    </w:p>
    <w:p w14:paraId="3B5E698E" w14:textId="77777777" w:rsidR="00227B7E" w:rsidRDefault="00227B7E" w:rsidP="00CE24EF">
      <w:pPr>
        <w:jc w:val="both"/>
      </w:pPr>
    </w:p>
    <w:p w14:paraId="540F5E16" w14:textId="77777777" w:rsidR="00227B7E" w:rsidRPr="00227B7E" w:rsidRDefault="00227B7E" w:rsidP="00227B7E">
      <w:pPr>
        <w:jc w:val="both"/>
      </w:pPr>
      <w:r w:rsidRPr="00227B7E">
        <w:rPr>
          <w:b/>
          <w:bCs/>
        </w:rPr>
        <w:lastRenderedPageBreak/>
        <w:t>El papel del auxiliar administrativo en el circuito administrativo del servicio de urgencias hospitalarias</w:t>
      </w:r>
    </w:p>
    <w:p w14:paraId="4F2485E1" w14:textId="77777777" w:rsidR="00227B7E" w:rsidRPr="00227B7E" w:rsidRDefault="00227B7E" w:rsidP="00227B7E">
      <w:pPr>
        <w:jc w:val="both"/>
        <w:rPr>
          <w:b/>
          <w:bCs/>
        </w:rPr>
      </w:pPr>
      <w:r w:rsidRPr="00227B7E">
        <w:rPr>
          <w:b/>
          <w:bCs/>
        </w:rPr>
        <w:t>Resumen</w:t>
      </w:r>
    </w:p>
    <w:p w14:paraId="4730E892" w14:textId="77777777" w:rsidR="00227B7E" w:rsidRPr="00227B7E" w:rsidRDefault="00227B7E" w:rsidP="00227B7E">
      <w:pPr>
        <w:jc w:val="both"/>
      </w:pPr>
      <w:r w:rsidRPr="00227B7E">
        <w:t xml:space="preserve">El servicio de urgencias hospitalarias constituye, por su elevada e imprevisible demanda y por la variabilidad en la gravedad de los pacientes atendidos, uno de los entornos de trabajo administrativo más exigentes del hospital. Este trabajo revisa, mediante una revisión narrativa de la literatura y de la normativa aplicable, el circuito administrativo de admisión en urgencias, su coordinación con el </w:t>
      </w:r>
      <w:proofErr w:type="spellStart"/>
      <w:r w:rsidRPr="00227B7E">
        <w:t>triaje</w:t>
      </w:r>
      <w:proofErr w:type="spellEnd"/>
      <w:r w:rsidRPr="00227B7E">
        <w:t xml:space="preserve"> clínico, la gestión de la información a familiares, y el registro estadístico asociado. Los resultados muestran que la rapidez y precisión de la identificación administrativa del paciente, incluso en situaciones de paciente no identificado, es un elemento crítico de seguridad, y que la comunicación con familiares en un entorno de alta carga emocional exige competencias específicas que van más allá de la mera gestión documental.</w:t>
      </w:r>
    </w:p>
    <w:p w14:paraId="3A570F18" w14:textId="77777777" w:rsidR="00227B7E" w:rsidRPr="00227B7E" w:rsidRDefault="00227B7E" w:rsidP="00227B7E">
      <w:pPr>
        <w:jc w:val="both"/>
      </w:pPr>
      <w:r w:rsidRPr="00227B7E">
        <w:rPr>
          <w:b/>
          <w:bCs/>
        </w:rPr>
        <w:t xml:space="preserve">Palabras clave: </w:t>
      </w:r>
      <w:r w:rsidRPr="00227B7E">
        <w:rPr>
          <w:i/>
          <w:iCs/>
        </w:rPr>
        <w:t xml:space="preserve">Urgencias hospitalarias; </w:t>
      </w:r>
      <w:proofErr w:type="spellStart"/>
      <w:r w:rsidRPr="00227B7E">
        <w:rPr>
          <w:i/>
          <w:iCs/>
        </w:rPr>
        <w:t>Triaje</w:t>
      </w:r>
      <w:proofErr w:type="spellEnd"/>
      <w:r w:rsidRPr="00227B7E">
        <w:rPr>
          <w:i/>
          <w:iCs/>
        </w:rPr>
        <w:t>; Admisión de urgencias; Gestión de flujos de pacientes; Auxiliar administrativo.</w:t>
      </w:r>
    </w:p>
    <w:p w14:paraId="38EACE55" w14:textId="77777777" w:rsidR="00227B7E" w:rsidRPr="00227B7E" w:rsidRDefault="00227B7E" w:rsidP="00227B7E">
      <w:pPr>
        <w:jc w:val="both"/>
        <w:rPr>
          <w:b/>
          <w:bCs/>
          <w:lang w:val="en-GB"/>
        </w:rPr>
      </w:pPr>
      <w:r w:rsidRPr="00227B7E">
        <w:rPr>
          <w:b/>
          <w:bCs/>
          <w:lang w:val="en-GB"/>
        </w:rPr>
        <w:t>Abstract</w:t>
      </w:r>
    </w:p>
    <w:p w14:paraId="22FA58B7" w14:textId="77777777" w:rsidR="00227B7E" w:rsidRPr="00227B7E" w:rsidRDefault="00227B7E" w:rsidP="00227B7E">
      <w:pPr>
        <w:jc w:val="both"/>
        <w:rPr>
          <w:lang w:val="en-GB"/>
        </w:rPr>
      </w:pPr>
      <w:r w:rsidRPr="00227B7E">
        <w:rPr>
          <w:lang w:val="en-GB"/>
        </w:rPr>
        <w:t>Hospital emergency departments constitute, due to their high and unpredictable demand and the variability in severity of patients treated, one of the most demanding administrative work environments in the hospital. This paper reviews, through a narrative review of the literature and applicable regulations, the administrative admission circuit in emergency departments, its coordination with clinical triage, communication with family members, and associated statistical registration. Results show that the speed and accuracy of administrative patient identification, even in unidentified-patient situations, is a critical safety element, and that communication with family members in a high emotional load environment requires specific competencies beyond mere document management.</w:t>
      </w:r>
    </w:p>
    <w:p w14:paraId="792A230B" w14:textId="77777777" w:rsidR="00227B7E" w:rsidRPr="00227B7E" w:rsidRDefault="00227B7E" w:rsidP="00227B7E">
      <w:pPr>
        <w:jc w:val="both"/>
        <w:rPr>
          <w:lang w:val="en-GB"/>
        </w:rPr>
      </w:pPr>
      <w:r w:rsidRPr="00227B7E">
        <w:rPr>
          <w:b/>
          <w:bCs/>
          <w:lang w:val="en-GB"/>
        </w:rPr>
        <w:t xml:space="preserve">Keywords: </w:t>
      </w:r>
      <w:r w:rsidRPr="00227B7E">
        <w:rPr>
          <w:i/>
          <w:iCs/>
          <w:lang w:val="en-GB"/>
        </w:rPr>
        <w:t>Hospital emergency department; Triage; Emergency admission; Patient flow management; Administrative assistant.</w:t>
      </w:r>
    </w:p>
    <w:p w14:paraId="608F5089" w14:textId="77777777" w:rsidR="00227B7E" w:rsidRPr="00227B7E" w:rsidRDefault="00227B7E" w:rsidP="00227B7E">
      <w:pPr>
        <w:jc w:val="both"/>
        <w:rPr>
          <w:b/>
          <w:bCs/>
        </w:rPr>
      </w:pPr>
      <w:r w:rsidRPr="00227B7E">
        <w:rPr>
          <w:b/>
          <w:bCs/>
        </w:rPr>
        <w:t>1. Introducción</w:t>
      </w:r>
    </w:p>
    <w:p w14:paraId="75117534" w14:textId="77777777" w:rsidR="00227B7E" w:rsidRPr="00227B7E" w:rsidRDefault="00227B7E" w:rsidP="00227B7E">
      <w:pPr>
        <w:jc w:val="both"/>
      </w:pPr>
      <w:r w:rsidRPr="00227B7E">
        <w:t>Los servicios de urgencias hospitalarias se caracterizan por una demanda asistencial elevada, continua (24 horas al día, todos los días del año) e imprevisible, lo que exige un circuito administrativo capaz de dar respuesta ágil y segura a volúmenes de pacientes muy variables, incluyendo situaciones de gravedad extrema en las que la rapidez de la identificación y el registro administrativo puede tener una repercusión directa sobre la seguridad del paciente (1).</w:t>
      </w:r>
    </w:p>
    <w:p w14:paraId="39CA3923" w14:textId="77777777" w:rsidR="00227B7E" w:rsidRPr="00227B7E" w:rsidRDefault="00227B7E" w:rsidP="00227B7E">
      <w:pPr>
        <w:jc w:val="both"/>
      </w:pPr>
      <w:r w:rsidRPr="00227B7E">
        <w:lastRenderedPageBreak/>
        <w:t xml:space="preserve">El auxiliar administrativo que trabaja en el mostrador de admisión de urgencias es, en la mayoría de los centros, el primer profesional en contacto con el paciente y su acompañante, y su actuación se entrelaza estrechamente con la del personal de enfermería encargado del </w:t>
      </w:r>
      <w:proofErr w:type="spellStart"/>
      <w:r w:rsidRPr="00227B7E">
        <w:t>triaje</w:t>
      </w:r>
      <w:proofErr w:type="spellEnd"/>
      <w:r w:rsidRPr="00227B7E">
        <w:t xml:space="preserve"> clínico, habitualmente basado en sistemas estructurados como el Sistema Español de </w:t>
      </w:r>
      <w:proofErr w:type="spellStart"/>
      <w:r w:rsidRPr="00227B7E">
        <w:t>Triaje</w:t>
      </w:r>
      <w:proofErr w:type="spellEnd"/>
      <w:r w:rsidRPr="00227B7E">
        <w:t xml:space="preserve"> (SET) o el Sistema de </w:t>
      </w:r>
      <w:proofErr w:type="spellStart"/>
      <w:r w:rsidRPr="00227B7E">
        <w:t>Triaje</w:t>
      </w:r>
      <w:proofErr w:type="spellEnd"/>
      <w:r w:rsidRPr="00227B7E">
        <w:t xml:space="preserve"> de Manchester, que determinan la prioridad de atención en función de la gravedad clínica (2).</w:t>
      </w:r>
    </w:p>
    <w:p w14:paraId="1DFEC743" w14:textId="77777777" w:rsidR="00227B7E" w:rsidRPr="00227B7E" w:rsidRDefault="00227B7E" w:rsidP="00227B7E">
      <w:pPr>
        <w:jc w:val="both"/>
      </w:pPr>
      <w:r w:rsidRPr="00227B7E">
        <w:t xml:space="preserve">El objetivo de este trabajo es analizar, a partir de una revisión de la literatura y de la normativa aplicable, el circuito administrativo del servicio de urgencias hospitalarias, su coordinación con el proceso de </w:t>
      </w:r>
      <w:proofErr w:type="spellStart"/>
      <w:r w:rsidRPr="00227B7E">
        <w:t>triaje</w:t>
      </w:r>
      <w:proofErr w:type="spellEnd"/>
      <w:r w:rsidRPr="00227B7E">
        <w:t xml:space="preserve"> clínico, y las competencias específicas que exige este entorno de trabajo al auxiliar administrativo.</w:t>
      </w:r>
    </w:p>
    <w:p w14:paraId="522F1D1F" w14:textId="77777777" w:rsidR="00227B7E" w:rsidRPr="00227B7E" w:rsidRDefault="00227B7E" w:rsidP="00227B7E">
      <w:pPr>
        <w:jc w:val="both"/>
        <w:rPr>
          <w:b/>
          <w:bCs/>
        </w:rPr>
      </w:pPr>
      <w:r w:rsidRPr="00227B7E">
        <w:rPr>
          <w:b/>
          <w:bCs/>
        </w:rPr>
        <w:t>2. Metodología</w:t>
      </w:r>
    </w:p>
    <w:p w14:paraId="747D088C" w14:textId="77777777" w:rsidR="00227B7E" w:rsidRPr="00227B7E" w:rsidRDefault="00227B7E" w:rsidP="00227B7E">
      <w:pPr>
        <w:jc w:val="both"/>
      </w:pPr>
      <w:r w:rsidRPr="00227B7E">
        <w:t>Se ha realizado una revisión narrativa de la literatura sobre organización y gestión de servicios de urgencias hospitalarias, disponible en Scielo y Dialnet, así como de documentos técnicos publicados por el Ministerio de Sanidad y por la Sociedad Española de Medicina de Urgencias y Emergencias (SEMES) sobre estándares de organización de estos servicios.</w:t>
      </w:r>
    </w:p>
    <w:p w14:paraId="7BBDDE56" w14:textId="77777777" w:rsidR="00227B7E" w:rsidRPr="00227B7E" w:rsidRDefault="00227B7E" w:rsidP="00227B7E">
      <w:pPr>
        <w:jc w:val="both"/>
      </w:pPr>
      <w:r w:rsidRPr="00227B7E">
        <w:t>Se han revisado, asimismo, los aspectos de la Ley 41/2002 relativos a la información asistencial en el ámbito de la urgencia, y protocolos institucionales publicados por distintos servicios de salud sobre atención a pacientes no identificados en urgencias.</w:t>
      </w:r>
    </w:p>
    <w:p w14:paraId="3E0796A2" w14:textId="77777777" w:rsidR="00227B7E" w:rsidRPr="00227B7E" w:rsidRDefault="00227B7E" w:rsidP="00227B7E">
      <w:pPr>
        <w:jc w:val="both"/>
      </w:pPr>
      <w:r w:rsidRPr="00227B7E">
        <w:t xml:space="preserve">La información obtenida se ha organizado en tres bloques: (a) el proceso de registro administrativo y su coordinación con el </w:t>
      </w:r>
      <w:proofErr w:type="spellStart"/>
      <w:r w:rsidRPr="00227B7E">
        <w:t>triaje</w:t>
      </w:r>
      <w:proofErr w:type="spellEnd"/>
      <w:r w:rsidRPr="00227B7E">
        <w:t xml:space="preserve"> clínico; (b) la gestión de la información a familiares y acompañantes; y (c) el registro estadístico y su relación con los indicadores de calidad del servicio.</w:t>
      </w:r>
    </w:p>
    <w:p w14:paraId="442A9566" w14:textId="77777777" w:rsidR="00227B7E" w:rsidRPr="00227B7E" w:rsidRDefault="00227B7E" w:rsidP="00227B7E">
      <w:pPr>
        <w:jc w:val="both"/>
        <w:rPr>
          <w:b/>
          <w:bCs/>
        </w:rPr>
      </w:pPr>
      <w:r w:rsidRPr="00227B7E">
        <w:rPr>
          <w:b/>
          <w:bCs/>
        </w:rPr>
        <w:t>3. Resultados</w:t>
      </w:r>
    </w:p>
    <w:p w14:paraId="30B24E03" w14:textId="77777777" w:rsidR="00227B7E" w:rsidRPr="00227B7E" w:rsidRDefault="00227B7E" w:rsidP="00227B7E">
      <w:pPr>
        <w:jc w:val="both"/>
      </w:pPr>
      <w:r w:rsidRPr="00227B7E">
        <w:t>El análisis de las fuentes revisadas permite identificar los siguientes elementos del circuito administrativo de urgencias:</w:t>
      </w:r>
    </w:p>
    <w:p w14:paraId="43678868" w14:textId="77777777" w:rsidR="00227B7E" w:rsidRPr="00227B7E" w:rsidRDefault="00227B7E" w:rsidP="00227B7E">
      <w:pPr>
        <w:numPr>
          <w:ilvl w:val="0"/>
          <w:numId w:val="15"/>
        </w:numPr>
        <w:jc w:val="both"/>
      </w:pPr>
      <w:r w:rsidRPr="00227B7E">
        <w:t>Registro e identificación: apertura ágil del episodio de urgencia, verificación de la identidad del paciente y, cuando esta no es posible (paciente inconsciente, sin acompañante, sin documentación), aplicación de protocolos específicos de identificación provisional («paciente no identificado» o «NN»), con asignación de un identificador temporal que deberá regularizarse en cuanto sea posible, extremando las precauciones para evitar errores de identificación en la posterior asistencia.</w:t>
      </w:r>
    </w:p>
    <w:p w14:paraId="75E8C3E9" w14:textId="77777777" w:rsidR="00227B7E" w:rsidRPr="00227B7E" w:rsidRDefault="00227B7E" w:rsidP="00227B7E">
      <w:pPr>
        <w:numPr>
          <w:ilvl w:val="0"/>
          <w:numId w:val="15"/>
        </w:numPr>
        <w:jc w:val="both"/>
      </w:pPr>
      <w:r w:rsidRPr="00227B7E">
        <w:t xml:space="preserve">Coordinación con el </w:t>
      </w:r>
      <w:proofErr w:type="spellStart"/>
      <w:r w:rsidRPr="00227B7E">
        <w:t>triaje</w:t>
      </w:r>
      <w:proofErr w:type="spellEnd"/>
      <w:r w:rsidRPr="00227B7E">
        <w:t xml:space="preserve"> clínico: si bien la clasificación de la gravedad del paciente (</w:t>
      </w:r>
      <w:proofErr w:type="spellStart"/>
      <w:r w:rsidRPr="00227B7E">
        <w:t>triaje</w:t>
      </w:r>
      <w:proofErr w:type="spellEnd"/>
      <w:r w:rsidRPr="00227B7E">
        <w:t xml:space="preserve">) es una función clínica, habitualmente de enfermería, el </w:t>
      </w:r>
      <w:r w:rsidRPr="00227B7E">
        <w:lastRenderedPageBreak/>
        <w:t xml:space="preserve">auxiliar administrativo coordina con el personal de </w:t>
      </w:r>
      <w:proofErr w:type="spellStart"/>
      <w:r w:rsidRPr="00227B7E">
        <w:t>triaje</w:t>
      </w:r>
      <w:proofErr w:type="spellEnd"/>
      <w:r w:rsidRPr="00227B7E">
        <w:t xml:space="preserve"> la actualización del estado y la ubicación del paciente en el sistema de información, facilitando la visibilidad del flujo de pacientes para el conjunto del equipo asistencial.</w:t>
      </w:r>
    </w:p>
    <w:p w14:paraId="7DB0C271" w14:textId="77777777" w:rsidR="00227B7E" w:rsidRPr="00227B7E" w:rsidRDefault="00227B7E" w:rsidP="00227B7E">
      <w:pPr>
        <w:numPr>
          <w:ilvl w:val="0"/>
          <w:numId w:val="15"/>
        </w:numPr>
        <w:jc w:val="both"/>
      </w:pPr>
      <w:r w:rsidRPr="00227B7E">
        <w:t>Gestión de la información a familiares: en un entorno caracterizado por la incertidumbre y la ansiedad de los acompañantes, el auxiliar administrativo desempeña con frecuencia un papel de primer punto de información sobre el estado del proceso (no necesariamente clínico) y los tiempos de espera, debiendo saber gestionar situaciones de tensión emocional con empatía y firmeza.</w:t>
      </w:r>
    </w:p>
    <w:p w14:paraId="0120728C" w14:textId="77777777" w:rsidR="00227B7E" w:rsidRPr="00227B7E" w:rsidRDefault="00227B7E" w:rsidP="00227B7E">
      <w:pPr>
        <w:numPr>
          <w:ilvl w:val="0"/>
          <w:numId w:val="15"/>
        </w:numPr>
        <w:jc w:val="both"/>
      </w:pPr>
      <w:r w:rsidRPr="00227B7E">
        <w:t xml:space="preserve">Circuito de alta o ingreso desde urgencias: tramitación administrativa del alta del episodio de urgencias o, en su caso, coordinación con el servicio de admisión general para la gestión del ingreso hospitalario del paciente, situación en la que puede producirse el fenómeno de saturación conocido como </w:t>
      </w:r>
      <w:proofErr w:type="spellStart"/>
      <w:r w:rsidRPr="00227B7E">
        <w:t>boarding</w:t>
      </w:r>
      <w:proofErr w:type="spellEnd"/>
      <w:r w:rsidRPr="00227B7E">
        <w:t xml:space="preserve"> (pacientes pendientes de cama de hospitalización que permanecen en el área de urgencias), con la consiguiente carga administrativa adicional.</w:t>
      </w:r>
    </w:p>
    <w:p w14:paraId="54D72453" w14:textId="77777777" w:rsidR="00227B7E" w:rsidRPr="00227B7E" w:rsidRDefault="00227B7E" w:rsidP="00227B7E">
      <w:pPr>
        <w:numPr>
          <w:ilvl w:val="0"/>
          <w:numId w:val="15"/>
        </w:numPr>
        <w:jc w:val="both"/>
      </w:pPr>
      <w:r w:rsidRPr="00227B7E">
        <w:t xml:space="preserve">Registro estadístico: cumplimentación del conjunto mínimo básico de datos (CMBD) de urgencias, que constituye la base de indicadores de gestión como el tiempo de espera hasta la primera atención, el tiempo de estancia en urgencias o la tasa de </w:t>
      </w:r>
      <w:proofErr w:type="spellStart"/>
      <w:r w:rsidRPr="00227B7E">
        <w:t>reconsultas</w:t>
      </w:r>
      <w:proofErr w:type="spellEnd"/>
      <w:r w:rsidRPr="00227B7E">
        <w:t>, información de relevancia tanto asistencial como de gestión del servicio.</w:t>
      </w:r>
    </w:p>
    <w:p w14:paraId="5C995839" w14:textId="77777777" w:rsidR="00227B7E" w:rsidRPr="00227B7E" w:rsidRDefault="00227B7E" w:rsidP="00227B7E">
      <w:pPr>
        <w:jc w:val="both"/>
        <w:rPr>
          <w:b/>
          <w:bCs/>
        </w:rPr>
      </w:pPr>
      <w:r w:rsidRPr="00227B7E">
        <w:rPr>
          <w:b/>
          <w:bCs/>
        </w:rPr>
        <w:t>4. Discusión</w:t>
      </w:r>
    </w:p>
    <w:p w14:paraId="01DA605F" w14:textId="77777777" w:rsidR="00227B7E" w:rsidRPr="00227B7E" w:rsidRDefault="00227B7E" w:rsidP="00227B7E">
      <w:pPr>
        <w:jc w:val="both"/>
      </w:pPr>
      <w:r w:rsidRPr="00227B7E">
        <w:t>Los resultados de esta revisión ponen de manifiesto que el trabajo administrativo en el servicio de urgencias combina exigencias técnicas (rapidez y precisión en la identificación y el registro) con exigencias emocionales y comunicativas de primer orden, en un entorno donde la incertidumbre, la gravedad clínica variable y la elevada carga emocional de pacientes y familiares son la norma y no la excepción.</w:t>
      </w:r>
    </w:p>
    <w:p w14:paraId="31AFD1F0" w14:textId="77777777" w:rsidR="00227B7E" w:rsidRPr="00227B7E" w:rsidRDefault="00227B7E" w:rsidP="00227B7E">
      <w:pPr>
        <w:jc w:val="both"/>
      </w:pPr>
      <w:r w:rsidRPr="00227B7E">
        <w:t>La correcta gestión de situaciones de paciente no identificado se revela como un aspecto crítico de seguridad del paciente que exige protocolos claros y formación específica, dado el riesgo de errores de identificación en un entorno de alta presión asistencial.</w:t>
      </w:r>
    </w:p>
    <w:p w14:paraId="4115AB39" w14:textId="77777777" w:rsidR="00227B7E" w:rsidRPr="00227B7E" w:rsidRDefault="00227B7E" w:rsidP="00227B7E">
      <w:pPr>
        <w:jc w:val="both"/>
      </w:pPr>
      <w:r w:rsidRPr="00227B7E">
        <w:t>Asimismo, se constata que la comunicación con familiares en el entorno de urgencias exige competencias de gestión emocional y comunicación en situaciones de crisis que van considerablemente más allá de las habilidades de atención al usuario requeridas en otros ámbitos administrativos hospitalarios más predecibles, lo que sugiere la conveniencia de una formación diferenciada y específica para el personal administrativo destinado a este servicio.</w:t>
      </w:r>
    </w:p>
    <w:p w14:paraId="77567BAD" w14:textId="77777777" w:rsidR="00227B7E" w:rsidRPr="00227B7E" w:rsidRDefault="00227B7E" w:rsidP="00227B7E">
      <w:pPr>
        <w:jc w:val="both"/>
      </w:pPr>
      <w:r w:rsidRPr="00227B7E">
        <w:lastRenderedPageBreak/>
        <w:t>El fenómeno de la saturación de los servicios de urgencias, ampliamente documentado en la literatura sanitaria de los últimos años, añade una presión adicional sobre el circuito administrativo, que debe ser capaz de mantener la trazabilidad y la calidad del registro incluso en situaciones de máxima ocupación.</w:t>
      </w:r>
    </w:p>
    <w:p w14:paraId="4BD3911C" w14:textId="77777777" w:rsidR="00227B7E" w:rsidRPr="00227B7E" w:rsidRDefault="00227B7E" w:rsidP="00227B7E">
      <w:pPr>
        <w:jc w:val="both"/>
        <w:rPr>
          <w:b/>
          <w:bCs/>
        </w:rPr>
      </w:pPr>
      <w:r w:rsidRPr="00227B7E">
        <w:rPr>
          <w:b/>
          <w:bCs/>
        </w:rPr>
        <w:t>5. Conclusiones</w:t>
      </w:r>
    </w:p>
    <w:p w14:paraId="0E72C35B" w14:textId="77777777" w:rsidR="00227B7E" w:rsidRPr="00227B7E" w:rsidRDefault="00227B7E" w:rsidP="00227B7E">
      <w:pPr>
        <w:jc w:val="both"/>
      </w:pPr>
      <w:r w:rsidRPr="00227B7E">
        <w:t>El circuito administrativo del servicio de urgencias hospitalarias combina exigencias técnicas de rapidez y precisión con exigencias comunicativas y emocionales de primer nivel, constituyendo uno de los entornos de trabajo administrativo más demandantes del hospital.</w:t>
      </w:r>
    </w:p>
    <w:p w14:paraId="63BD27EA" w14:textId="77777777" w:rsidR="00227B7E" w:rsidRPr="00227B7E" w:rsidRDefault="00227B7E" w:rsidP="00227B7E">
      <w:pPr>
        <w:jc w:val="both"/>
      </w:pPr>
      <w:r w:rsidRPr="00227B7E">
        <w:t>La correcta identificación del paciente, incluyendo los protocolos para pacientes no identificados, y la calidad del registro estadístico son aspectos críticos tanto para la seguridad del paciente como para la gestión del servicio.</w:t>
      </w:r>
    </w:p>
    <w:p w14:paraId="6AB11C23" w14:textId="77777777" w:rsidR="00227B7E" w:rsidRPr="00227B7E" w:rsidRDefault="00227B7E" w:rsidP="00227B7E">
      <w:pPr>
        <w:jc w:val="both"/>
      </w:pPr>
      <w:r w:rsidRPr="00227B7E">
        <w:t>Se recomienda una formación específica y diferenciada para el personal administrativo destinado a los servicios de urgencias, que incorpore tanto los protocolos técnicos de identificación y registro como competencias de comunicación y gestión emocional en situaciones de crisis.</w:t>
      </w:r>
    </w:p>
    <w:p w14:paraId="27916CA4" w14:textId="77777777" w:rsidR="00227B7E" w:rsidRPr="00227B7E" w:rsidRDefault="00227B7E" w:rsidP="00227B7E">
      <w:pPr>
        <w:jc w:val="both"/>
        <w:rPr>
          <w:b/>
          <w:bCs/>
        </w:rPr>
      </w:pPr>
      <w:r w:rsidRPr="00227B7E">
        <w:rPr>
          <w:b/>
          <w:bCs/>
        </w:rPr>
        <w:t>Bibliografía</w:t>
      </w:r>
    </w:p>
    <w:p w14:paraId="1101A812" w14:textId="77777777" w:rsidR="00227B7E" w:rsidRPr="00227B7E" w:rsidRDefault="00227B7E" w:rsidP="00227B7E">
      <w:pPr>
        <w:jc w:val="both"/>
      </w:pPr>
      <w:r w:rsidRPr="00227B7E">
        <w:rPr>
          <w:i/>
          <w:iCs/>
        </w:rPr>
        <w:t>Referencias citadas según normas de Vancouver, por orden de aparición en el texto:</w:t>
      </w:r>
    </w:p>
    <w:p w14:paraId="079981E0" w14:textId="77777777" w:rsidR="00227B7E" w:rsidRPr="00227B7E" w:rsidRDefault="00227B7E" w:rsidP="00227B7E">
      <w:pPr>
        <w:jc w:val="both"/>
      </w:pPr>
      <w:r w:rsidRPr="00227B7E">
        <w:t>1. Sociedad Española de Medicina de Urgencias y Emergencias (SEMES). Estándares de acreditación de servicios de urgencias hospitalarios. Madrid: SEMES; 2018.</w:t>
      </w:r>
    </w:p>
    <w:p w14:paraId="27181EDB" w14:textId="77777777" w:rsidR="00227B7E" w:rsidRPr="00227B7E" w:rsidRDefault="00227B7E" w:rsidP="00227B7E">
      <w:pPr>
        <w:jc w:val="both"/>
      </w:pPr>
      <w:r w:rsidRPr="00227B7E">
        <w:t xml:space="preserve">2. Gómez Jiménez J. Sistema Español de </w:t>
      </w:r>
      <w:proofErr w:type="spellStart"/>
      <w:r w:rsidRPr="00227B7E">
        <w:t>Triaje</w:t>
      </w:r>
      <w:proofErr w:type="spellEnd"/>
      <w:r w:rsidRPr="00227B7E">
        <w:t xml:space="preserve"> (SET): manual de indicadores de calidad. Barcelona: Grupo Español de </w:t>
      </w:r>
      <w:proofErr w:type="spellStart"/>
      <w:r w:rsidRPr="00227B7E">
        <w:t>Triaje</w:t>
      </w:r>
      <w:proofErr w:type="spellEnd"/>
      <w:r w:rsidRPr="00227B7E">
        <w:t>; 2015.</w:t>
      </w:r>
    </w:p>
    <w:p w14:paraId="63647F0A" w14:textId="77777777" w:rsidR="00227B7E" w:rsidRPr="00227B7E" w:rsidRDefault="00227B7E" w:rsidP="00227B7E">
      <w:pPr>
        <w:jc w:val="both"/>
      </w:pPr>
      <w:r w:rsidRPr="00227B7E">
        <w:t xml:space="preserve">3. España. Ley 41/2002, de 14 de noviembre, básica reguladora de la autonomía del paciente y de derechos y obligaciones en materia de información y documentación clínica. Boletín Oficial del Estado, </w:t>
      </w:r>
      <w:proofErr w:type="spellStart"/>
      <w:r w:rsidRPr="00227B7E">
        <w:t>nº</w:t>
      </w:r>
      <w:proofErr w:type="spellEnd"/>
      <w:r w:rsidRPr="00227B7E">
        <w:t xml:space="preserve"> 274, de 15 de noviembre de 2002.</w:t>
      </w:r>
    </w:p>
    <w:p w14:paraId="216A876A" w14:textId="77777777" w:rsidR="00227B7E" w:rsidRPr="00227B7E" w:rsidRDefault="00227B7E" w:rsidP="00227B7E">
      <w:pPr>
        <w:jc w:val="both"/>
      </w:pPr>
      <w:r w:rsidRPr="00227B7E">
        <w:t>4. Ministerio de Sanidad. Unidades de urgencias hospitalarias: estándares y recomendaciones. Madrid: Ministerio de Sanidad, Política Social e Igualdad; 2010.</w:t>
      </w:r>
    </w:p>
    <w:p w14:paraId="0ED9ACC0" w14:textId="77777777" w:rsidR="00227B7E" w:rsidRPr="00227B7E" w:rsidRDefault="00227B7E" w:rsidP="00227B7E">
      <w:pPr>
        <w:jc w:val="both"/>
      </w:pPr>
      <w:r w:rsidRPr="00227B7E">
        <w:t>5. Miró Ò, Sánchez M. Saturación de los servicios de urgencias hospitalarios: causas, consecuencias y posibles soluciones. Emergencias. 2019;31(6):421-427.</w:t>
      </w:r>
    </w:p>
    <w:p w14:paraId="2ED237FD" w14:textId="77777777" w:rsidR="00227B7E" w:rsidRDefault="00227B7E" w:rsidP="00CE24EF">
      <w:pPr>
        <w:jc w:val="both"/>
      </w:pPr>
    </w:p>
    <w:p w14:paraId="02F5CA74" w14:textId="77777777" w:rsidR="00227B7E" w:rsidRDefault="00227B7E" w:rsidP="00CE24EF">
      <w:pPr>
        <w:jc w:val="both"/>
      </w:pPr>
    </w:p>
    <w:p w14:paraId="6B115CC9" w14:textId="77777777" w:rsidR="00227B7E" w:rsidRDefault="00227B7E" w:rsidP="00CE24EF">
      <w:pPr>
        <w:jc w:val="both"/>
      </w:pPr>
    </w:p>
    <w:p w14:paraId="6500E5CC" w14:textId="77777777" w:rsidR="00227B7E" w:rsidRDefault="00227B7E" w:rsidP="00CE24EF">
      <w:pPr>
        <w:jc w:val="both"/>
      </w:pPr>
    </w:p>
    <w:p w14:paraId="771BAADF" w14:textId="77777777" w:rsidR="00A45BCF" w:rsidRPr="00A45BCF" w:rsidRDefault="00A45BCF" w:rsidP="00A45BCF">
      <w:pPr>
        <w:jc w:val="both"/>
      </w:pPr>
      <w:r w:rsidRPr="00A45BCF">
        <w:rPr>
          <w:b/>
          <w:bCs/>
        </w:rPr>
        <w:lastRenderedPageBreak/>
        <w:t>Prevención de riesgos laborales en el puesto de trabajo del auxiliar administrativo del ámbito hospitalario</w:t>
      </w:r>
    </w:p>
    <w:p w14:paraId="232E89D6" w14:textId="77777777" w:rsidR="00A45BCF" w:rsidRPr="00A45BCF" w:rsidRDefault="00A45BCF" w:rsidP="00A45BCF">
      <w:pPr>
        <w:jc w:val="both"/>
        <w:rPr>
          <w:b/>
          <w:bCs/>
        </w:rPr>
      </w:pPr>
      <w:r w:rsidRPr="00A45BCF">
        <w:rPr>
          <w:b/>
          <w:bCs/>
        </w:rPr>
        <w:t>Resumen</w:t>
      </w:r>
    </w:p>
    <w:p w14:paraId="4B6AA3FE" w14:textId="77777777" w:rsidR="00A45BCF" w:rsidRPr="00A45BCF" w:rsidRDefault="00A45BCF" w:rsidP="00A45BCF">
      <w:pPr>
        <w:jc w:val="both"/>
      </w:pPr>
      <w:r w:rsidRPr="00A45BCF">
        <w:t xml:space="preserve">La Ley 31/1995, de 8 de noviembre, de Prevención de Riesgos Laborales, </w:t>
      </w:r>
      <w:proofErr w:type="gramStart"/>
      <w:r w:rsidRPr="00A45BCF">
        <w:t>es de aplicación</w:t>
      </w:r>
      <w:proofErr w:type="gramEnd"/>
      <w:r w:rsidRPr="00A45BCF">
        <w:t xml:space="preserve"> a la totalidad de los trabajadores del ámbito hospitalario, incluido el personal administrativo, cuyos riesgos laborales específicos —fundamentalmente de tipo ergonómico y psicosocial— reciben en la práctica menor atención que los riesgos biológicos o físicos asociados al personal clínico. Este trabajo revisa, a partir del marco normativo vigente y de la literatura sobre salud laboral, los principales riesgos asociados al puesto de trabajo del auxiliar administrativo hospitalario y las medidas preventivas aplicables. Los resultados destacan la relevancia de los riesgos ergonómicos derivados del uso prolongado de pantallas de visualización de datos, los riesgos psicosociales asociados a la atención al público y al trabajo a turnos, y la creciente preocupación por las agresiones a trabajadores en el ámbito sanitario.</w:t>
      </w:r>
    </w:p>
    <w:p w14:paraId="55222B87" w14:textId="77777777" w:rsidR="00A45BCF" w:rsidRPr="00A45BCF" w:rsidRDefault="00A45BCF" w:rsidP="00A45BCF">
      <w:pPr>
        <w:jc w:val="both"/>
      </w:pPr>
      <w:r w:rsidRPr="00A45BCF">
        <w:rPr>
          <w:b/>
          <w:bCs/>
        </w:rPr>
        <w:t xml:space="preserve">Palabras clave: </w:t>
      </w:r>
      <w:r w:rsidRPr="00A45BCF">
        <w:rPr>
          <w:i/>
          <w:iCs/>
        </w:rPr>
        <w:t>Prevención de riesgos laborales; Riesgos ergonómicos; Riesgos psicosociales; Salud laboral; Auxiliar administrativo.</w:t>
      </w:r>
    </w:p>
    <w:p w14:paraId="1AECB53C" w14:textId="77777777" w:rsidR="00A45BCF" w:rsidRPr="00A45BCF" w:rsidRDefault="00A45BCF" w:rsidP="00A45BCF">
      <w:pPr>
        <w:jc w:val="both"/>
        <w:rPr>
          <w:b/>
          <w:bCs/>
          <w:lang w:val="en-GB"/>
        </w:rPr>
      </w:pPr>
      <w:r w:rsidRPr="00A45BCF">
        <w:rPr>
          <w:b/>
          <w:bCs/>
          <w:lang w:val="en-GB"/>
        </w:rPr>
        <w:t>Abstract</w:t>
      </w:r>
    </w:p>
    <w:p w14:paraId="05F17473" w14:textId="77777777" w:rsidR="00A45BCF" w:rsidRPr="00A45BCF" w:rsidRDefault="00A45BCF" w:rsidP="00A45BCF">
      <w:pPr>
        <w:jc w:val="both"/>
        <w:rPr>
          <w:lang w:val="en-GB"/>
        </w:rPr>
      </w:pPr>
      <w:r w:rsidRPr="00A45BCF">
        <w:rPr>
          <w:lang w:val="en-GB"/>
        </w:rPr>
        <w:t>Spanish Law 31/1995 on Occupational Risk Prevention applies to all hospital workers, including administrative staff, whose specific occupational risks —mainly ergonomic and psychosocial— receive, in practice, less attention than the biological or physical risks associated with clinical staff. This paper reviews, based on current regulations and occupational health literature, the main risks associated with the hospital administrative assistant's workplace and applicable preventive measures. Results highlight the relevance of ergonomic risks derived from prolonged display screen equipment use, psychosocial risks associated with public-facing work and shift work, and growing concern about workplace violence against healthcare workers.</w:t>
      </w:r>
    </w:p>
    <w:p w14:paraId="1B0D155B" w14:textId="77777777" w:rsidR="00A45BCF" w:rsidRPr="00A45BCF" w:rsidRDefault="00A45BCF" w:rsidP="00A45BCF">
      <w:pPr>
        <w:jc w:val="both"/>
        <w:rPr>
          <w:lang w:val="en-GB"/>
        </w:rPr>
      </w:pPr>
      <w:r w:rsidRPr="00A45BCF">
        <w:rPr>
          <w:b/>
          <w:bCs/>
          <w:lang w:val="en-GB"/>
        </w:rPr>
        <w:t xml:space="preserve">Keywords: </w:t>
      </w:r>
      <w:r w:rsidRPr="00A45BCF">
        <w:rPr>
          <w:i/>
          <w:iCs/>
          <w:lang w:val="en-GB"/>
        </w:rPr>
        <w:t>Occupational risk prevention; Ergonomic risks; Psychosocial risks; Occupational health; Administrative assistant.</w:t>
      </w:r>
    </w:p>
    <w:p w14:paraId="5FF8F2AA" w14:textId="77777777" w:rsidR="00A45BCF" w:rsidRPr="00A45BCF" w:rsidRDefault="00A45BCF" w:rsidP="00A45BCF">
      <w:pPr>
        <w:jc w:val="both"/>
        <w:rPr>
          <w:b/>
          <w:bCs/>
        </w:rPr>
      </w:pPr>
      <w:r w:rsidRPr="00A45BCF">
        <w:rPr>
          <w:b/>
          <w:bCs/>
        </w:rPr>
        <w:t>1. Introducción</w:t>
      </w:r>
    </w:p>
    <w:p w14:paraId="6C823CD8" w14:textId="77777777" w:rsidR="00A45BCF" w:rsidRPr="00A45BCF" w:rsidRDefault="00A45BCF" w:rsidP="00A45BCF">
      <w:pPr>
        <w:jc w:val="both"/>
      </w:pPr>
      <w:r w:rsidRPr="00A45BCF">
        <w:t xml:space="preserve">La Ley 31/1995, de 8 de noviembre, de Prevención de Riesgos Laborales (LPRL), constituye el marco normativo básico en materia de seguridad y salud en el trabajo en España, </w:t>
      </w:r>
      <w:proofErr w:type="gramStart"/>
      <w:r w:rsidRPr="00A45BCF">
        <w:t>siendo de aplicación</w:t>
      </w:r>
      <w:proofErr w:type="gramEnd"/>
      <w:r w:rsidRPr="00A45BCF">
        <w:t xml:space="preserve"> a todos los trabajadores, con independencia de su categoría profesional o del carácter aparentemente más o menos «de riesgo» de sus funciones (1). En el ámbito hospitalario, la atención preventiva se ha centrado tradicionalmente, y con razón, en los riesgos biológicos, físicos y químicos </w:t>
      </w:r>
      <w:r w:rsidRPr="00A45BCF">
        <w:lastRenderedPageBreak/>
        <w:t>asociados al personal clínico, lo que ha podido derivar en una menor visibilidad de los riesgos específicos del personal administrativo.</w:t>
      </w:r>
    </w:p>
    <w:p w14:paraId="5B65298C" w14:textId="77777777" w:rsidR="00A45BCF" w:rsidRPr="00A45BCF" w:rsidRDefault="00A45BCF" w:rsidP="00A45BCF">
      <w:pPr>
        <w:jc w:val="both"/>
      </w:pPr>
      <w:r w:rsidRPr="00A45BCF">
        <w:t>No obstante, el auxiliar administrativo hospitalario está expuesto a riesgos laborales propios y relevantes, entre los que destacan los riesgos ergonómicos derivados del trabajo prolongado con pantallas de visualización de datos, los riesgos psicosociales asociados a la atención continuada al público en un entorno sanitario (con situaciones de tensión, ansiedad o duelo de pacientes y familiares) y al trabajo a turnos en unidades de funcionamiento continuado como admisión de urgencias, y, de forma creciente en los últimos años, el riesgo de sufrir agresiones verbales o físicas por parte de usuarios.</w:t>
      </w:r>
    </w:p>
    <w:p w14:paraId="52F7BC18" w14:textId="77777777" w:rsidR="00A45BCF" w:rsidRPr="00A45BCF" w:rsidRDefault="00A45BCF" w:rsidP="00A45BCF">
      <w:pPr>
        <w:jc w:val="both"/>
      </w:pPr>
      <w:r w:rsidRPr="00A45BCF">
        <w:t>El objetivo de este trabajo es analizar, a partir de una revisión del marco normativo vigente y de la literatura sobre salud laboral en el ámbito sanitario, los principales riesgos laborales asociados al puesto de trabajo del auxiliar administrativo hospitalario y las medidas preventivas aplicables.</w:t>
      </w:r>
    </w:p>
    <w:p w14:paraId="04F7D591" w14:textId="77777777" w:rsidR="00A45BCF" w:rsidRPr="00A45BCF" w:rsidRDefault="00A45BCF" w:rsidP="00A45BCF">
      <w:pPr>
        <w:jc w:val="both"/>
        <w:rPr>
          <w:b/>
          <w:bCs/>
        </w:rPr>
      </w:pPr>
      <w:r w:rsidRPr="00A45BCF">
        <w:rPr>
          <w:b/>
          <w:bCs/>
        </w:rPr>
        <w:t>2. Metodología</w:t>
      </w:r>
    </w:p>
    <w:p w14:paraId="32C8BDEB" w14:textId="77777777" w:rsidR="00A45BCF" w:rsidRPr="00A45BCF" w:rsidRDefault="00A45BCF" w:rsidP="00A45BCF">
      <w:pPr>
        <w:jc w:val="both"/>
      </w:pPr>
      <w:r w:rsidRPr="00A45BCF">
        <w:t>Se ha realizado una revisión documental de la Ley 31/1995, de Prevención de Riesgos Laborales, del Real Decreto 39/1997, de 17 de enero, por el que se aprueba el Reglamento de los Servicios de Prevención, y del Real Decreto 488/1997, de 14 de abril, sobre disposiciones mínimas de seguridad y salud relativas al trabajo con equipos que incluyen pantallas de visualización.</w:t>
      </w:r>
    </w:p>
    <w:p w14:paraId="5A2ABA95" w14:textId="77777777" w:rsidR="00A45BCF" w:rsidRPr="00A45BCF" w:rsidRDefault="00A45BCF" w:rsidP="00A45BCF">
      <w:pPr>
        <w:jc w:val="both"/>
      </w:pPr>
      <w:r w:rsidRPr="00A45BCF">
        <w:t>Se han revisado, asimismo, guías técnicas publicadas por el Instituto Nacional de Seguridad y Salud en el Trabajo (INSST) sobre riesgos ergonómicos y psicosociales, así como literatura científica sobre violencia laboral en el ámbito sanitario disponible en Scielo y Dialnet, y protocolos institucionales de prevención de agresiones publicados por distintos servicios de salud autonómicos.</w:t>
      </w:r>
    </w:p>
    <w:p w14:paraId="3444DAA5" w14:textId="77777777" w:rsidR="00A45BCF" w:rsidRPr="00A45BCF" w:rsidRDefault="00A45BCF" w:rsidP="00A45BCF">
      <w:pPr>
        <w:jc w:val="both"/>
      </w:pPr>
      <w:r w:rsidRPr="00A45BCF">
        <w:t>La información se ha organizado en torno a cuatro bloques de riesgo: (a) riesgos ergonómicos; (b) riesgos psicosociales; (c) riesgo de agresión por terceros; y (d) el papel del Servicio de Prevención de Riesgos Laborales del centro en la gestión de estos riesgos.</w:t>
      </w:r>
    </w:p>
    <w:p w14:paraId="5084B0BA" w14:textId="77777777" w:rsidR="00A45BCF" w:rsidRPr="00A45BCF" w:rsidRDefault="00A45BCF" w:rsidP="00A45BCF">
      <w:pPr>
        <w:jc w:val="both"/>
        <w:rPr>
          <w:b/>
          <w:bCs/>
        </w:rPr>
      </w:pPr>
      <w:r w:rsidRPr="00A45BCF">
        <w:rPr>
          <w:b/>
          <w:bCs/>
        </w:rPr>
        <w:t>3. Resultados</w:t>
      </w:r>
    </w:p>
    <w:p w14:paraId="0D7C9FAC" w14:textId="77777777" w:rsidR="00A45BCF" w:rsidRPr="00A45BCF" w:rsidRDefault="00A45BCF" w:rsidP="00A45BCF">
      <w:pPr>
        <w:jc w:val="both"/>
      </w:pPr>
      <w:r w:rsidRPr="00A45BCF">
        <w:t>El análisis de las fuentes revisadas permite identificar los siguientes riesgos y medidas preventivas asociadas:</w:t>
      </w:r>
    </w:p>
    <w:p w14:paraId="010643A2" w14:textId="77777777" w:rsidR="00A45BCF" w:rsidRPr="00A45BCF" w:rsidRDefault="00A45BCF" w:rsidP="00A45BCF">
      <w:pPr>
        <w:numPr>
          <w:ilvl w:val="0"/>
          <w:numId w:val="16"/>
        </w:numPr>
        <w:jc w:val="both"/>
      </w:pPr>
      <w:r w:rsidRPr="00A45BCF">
        <w:t xml:space="preserve">Riesgos ergonómicos: derivados fundamentalmente del trabajo sedentario prolongado con pantallas de visualización de datos (PVD), regulado específicamente por el Real Decreto 488/1997, que establece requisitos mínimos relativos al diseño del puesto (pantalla, teclado, mesa, silla), la iluminación, y la organización de pausas periódicas; se recomienda la </w:t>
      </w:r>
      <w:r w:rsidRPr="00A45BCF">
        <w:lastRenderedPageBreak/>
        <w:t>evaluación específica del puesto por el Servicio de Prevención y la adaptación individualizada cuando sea necesario.</w:t>
      </w:r>
    </w:p>
    <w:p w14:paraId="685D4F87" w14:textId="77777777" w:rsidR="00A45BCF" w:rsidRPr="00A45BCF" w:rsidRDefault="00A45BCF" w:rsidP="00A45BCF">
      <w:pPr>
        <w:numPr>
          <w:ilvl w:val="0"/>
          <w:numId w:val="16"/>
        </w:numPr>
        <w:jc w:val="both"/>
      </w:pPr>
      <w:r w:rsidRPr="00A45BCF">
        <w:t xml:space="preserve">Riesgos psicosociales: asociados a factores como la atención continuada al público en situaciones de tensión emocional, la doble presencia (conciliación de la vida laboral y familiar en el caso del trabajo a turnos), la carga mental derivada de la gestión simultánea de tareas administrativas y de atención directa, y el trabajo a turnos en unidades de funcionamiento continuado; su evaluación se realiza habitualmente mediante herramientas validadas como el método ISTAS21 (versión española del </w:t>
      </w:r>
      <w:proofErr w:type="spellStart"/>
      <w:r w:rsidRPr="00A45BCF">
        <w:t>CoPsoQ</w:t>
      </w:r>
      <w:proofErr w:type="spellEnd"/>
      <w:r w:rsidRPr="00A45BCF">
        <w:t>) o el método F-PSICO del propio INSST (2,3).</w:t>
      </w:r>
    </w:p>
    <w:p w14:paraId="5EC0D84A" w14:textId="77777777" w:rsidR="00A45BCF" w:rsidRPr="00A45BCF" w:rsidRDefault="00A45BCF" w:rsidP="00A45BCF">
      <w:pPr>
        <w:numPr>
          <w:ilvl w:val="0"/>
          <w:numId w:val="16"/>
        </w:numPr>
        <w:jc w:val="both"/>
      </w:pPr>
      <w:r w:rsidRPr="00A45BCF">
        <w:t>Riesgo de agresión por terceros: la literatura sanitaria de los últimos años documenta un incremento sostenido de las agresiones, verbales y en menor medida físicas, sufridas por trabajadores sanitarios y administrativos en el desempeño de su labor de atención al público, lo que ha motivado el desarrollo, en la práctica totalidad de los servicios de salud autonómicos, de planes específicos de prevención y actuación frente a agresiones, que incluyen medidas organizativas (protocolos de actuación, botones de alarma), formativas (gestión de situaciones de tensión) y de apoyo a los trabajadores agredidos (4).</w:t>
      </w:r>
    </w:p>
    <w:p w14:paraId="273689EB" w14:textId="77777777" w:rsidR="00A45BCF" w:rsidRPr="00A45BCF" w:rsidRDefault="00A45BCF" w:rsidP="00A45BCF">
      <w:pPr>
        <w:numPr>
          <w:ilvl w:val="0"/>
          <w:numId w:val="16"/>
        </w:numPr>
        <w:jc w:val="both"/>
      </w:pPr>
      <w:r w:rsidRPr="00A45BCF">
        <w:t>Papel del Servicio de Prevención de Riesgos Laborales: corresponde a este servicio, de existencia obligatoria en los centros sanitarios conforme al Real Decreto 39/1997, la evaluación de riesgos de cada puesto de trabajo, la vigilancia de la salud de los trabajadores (de carácter voluntario salvo excepciones legalmente tasadas), y la formación e información obligatoria a los trabajadores en materia preventiva, conforme al artículo 19 de la Ley 31/1995.</w:t>
      </w:r>
    </w:p>
    <w:p w14:paraId="7255B996" w14:textId="77777777" w:rsidR="00A45BCF" w:rsidRPr="00A45BCF" w:rsidRDefault="00A45BCF" w:rsidP="00A45BCF">
      <w:pPr>
        <w:jc w:val="both"/>
        <w:rPr>
          <w:b/>
          <w:bCs/>
        </w:rPr>
      </w:pPr>
      <w:r w:rsidRPr="00A45BCF">
        <w:rPr>
          <w:b/>
          <w:bCs/>
        </w:rPr>
        <w:t>4. Discusión</w:t>
      </w:r>
    </w:p>
    <w:p w14:paraId="5DBD98B1" w14:textId="77777777" w:rsidR="00A45BCF" w:rsidRPr="00A45BCF" w:rsidRDefault="00A45BCF" w:rsidP="00A45BCF">
      <w:pPr>
        <w:jc w:val="both"/>
      </w:pPr>
      <w:r w:rsidRPr="00A45BCF">
        <w:t>Los resultados de esta revisión permiten afirmar que el puesto de trabajo del auxiliar administrativo hospitalario, pese a no implicar habitualmente exposición a riesgos biológicos o físicos de la magnitud de los que afectan a determinado personal clínico, presenta riesgos propios y relevantes, en particular en su vertiente ergonómica y psicosocial, que no siempre reciben el mismo nivel de atención preventiva.</w:t>
      </w:r>
    </w:p>
    <w:p w14:paraId="4D97990A" w14:textId="77777777" w:rsidR="00A45BCF" w:rsidRPr="00A45BCF" w:rsidRDefault="00A45BCF" w:rsidP="00A45BCF">
      <w:pPr>
        <w:jc w:val="both"/>
      </w:pPr>
      <w:r w:rsidRPr="00A45BCF">
        <w:t xml:space="preserve">Resulta especialmente destacable el incremento documentado de las agresiones a personal sanitario y administrativo, fenómeno que ha motivado una respuesta institucional creciente en forma de planes específicos de prevención, pero que sigue constituyendo una fuente de preocupación y de posible impacto en la salud </w:t>
      </w:r>
      <w:r w:rsidRPr="00A45BCF">
        <w:lastRenderedPageBreak/>
        <w:t>psicológica de los trabajadores expuestos, particularmente en puestos de atención directa y continuada al público como los de admisión y urgencias.</w:t>
      </w:r>
    </w:p>
    <w:p w14:paraId="4BD6ED33" w14:textId="77777777" w:rsidR="00A45BCF" w:rsidRPr="00A45BCF" w:rsidRDefault="00A45BCF" w:rsidP="00A45BCF">
      <w:pPr>
        <w:jc w:val="both"/>
      </w:pPr>
      <w:r w:rsidRPr="00A45BCF">
        <w:t>Se identifica, asimismo, la necesidad de una evaluación específica y periódica de los riesgos psicosociales del personal administrativo, más allá de la evaluación ergonómica del puesto físico de trabajo, dado que los factores organizativos (carga de trabajo, autonomía, apoyo social) tienen una influencia demostrada en la salud laboral de este colectivo.</w:t>
      </w:r>
    </w:p>
    <w:p w14:paraId="0F568BD5" w14:textId="77777777" w:rsidR="00A45BCF" w:rsidRPr="00A45BCF" w:rsidRDefault="00A45BCF" w:rsidP="00A45BCF">
      <w:pPr>
        <w:jc w:val="both"/>
        <w:rPr>
          <w:b/>
          <w:bCs/>
        </w:rPr>
      </w:pPr>
      <w:r w:rsidRPr="00A45BCF">
        <w:rPr>
          <w:b/>
          <w:bCs/>
        </w:rPr>
        <w:t>5. Conclusiones</w:t>
      </w:r>
    </w:p>
    <w:p w14:paraId="063F16BE" w14:textId="77777777" w:rsidR="00A45BCF" w:rsidRPr="00A45BCF" w:rsidRDefault="00A45BCF" w:rsidP="00A45BCF">
      <w:pPr>
        <w:jc w:val="both"/>
      </w:pPr>
      <w:r w:rsidRPr="00A45BCF">
        <w:t>El puesto de trabajo del auxiliar administrativo hospitalario presenta riesgos laborales propios y relevantes, fundamentalmente de naturaleza ergonómica y psicosocial, así como un riesgo creciente de agresión por terceros en el desempeño de sus funciones de atención al público.</w:t>
      </w:r>
    </w:p>
    <w:p w14:paraId="3D581884" w14:textId="77777777" w:rsidR="00A45BCF" w:rsidRPr="00A45BCF" w:rsidRDefault="00A45BCF" w:rsidP="00A45BCF">
      <w:pPr>
        <w:jc w:val="both"/>
      </w:pPr>
      <w:r w:rsidRPr="00A45BCF">
        <w:t>El marco normativo español, en particular la Ley 31/1995 y sus reglamentos de desarrollo, exige la evaluación específica de estos riesgos y la adopción de medidas preventivas adaptadas, función que corresponde al Servicio de Prevención de Riesgos Laborales de cada centro.</w:t>
      </w:r>
    </w:p>
    <w:p w14:paraId="77B16135" w14:textId="77777777" w:rsidR="00A45BCF" w:rsidRPr="00A45BCF" w:rsidRDefault="00A45BCF" w:rsidP="00A45BCF">
      <w:pPr>
        <w:jc w:val="both"/>
      </w:pPr>
      <w:r w:rsidRPr="00A45BCF">
        <w:t>Se recomienda reforzar la evaluación de riesgos psicosociales y los planes de prevención de agresiones dirigidos específicamente al personal administrativo, como vía para mejorar la salud laboral de este colectivo profesional, frecuentemente menos visible en las políticas preventivas hospitalarias que el personal clínico.</w:t>
      </w:r>
    </w:p>
    <w:p w14:paraId="6AEB259D" w14:textId="77777777" w:rsidR="00A45BCF" w:rsidRPr="00A45BCF" w:rsidRDefault="00A45BCF" w:rsidP="00A45BCF">
      <w:pPr>
        <w:jc w:val="both"/>
        <w:rPr>
          <w:b/>
          <w:bCs/>
        </w:rPr>
      </w:pPr>
      <w:r w:rsidRPr="00A45BCF">
        <w:rPr>
          <w:b/>
          <w:bCs/>
        </w:rPr>
        <w:t>Bibliografía</w:t>
      </w:r>
    </w:p>
    <w:p w14:paraId="5A0EDF83" w14:textId="77777777" w:rsidR="00A45BCF" w:rsidRPr="00A45BCF" w:rsidRDefault="00A45BCF" w:rsidP="00A45BCF">
      <w:pPr>
        <w:jc w:val="both"/>
      </w:pPr>
      <w:r w:rsidRPr="00A45BCF">
        <w:rPr>
          <w:i/>
          <w:iCs/>
        </w:rPr>
        <w:t>Referencias citadas según normas de Vancouver, por orden de aparición en el texto:</w:t>
      </w:r>
    </w:p>
    <w:p w14:paraId="07A17897" w14:textId="77777777" w:rsidR="00A45BCF" w:rsidRPr="00A45BCF" w:rsidRDefault="00A45BCF" w:rsidP="00A45BCF">
      <w:pPr>
        <w:jc w:val="both"/>
      </w:pPr>
      <w:r w:rsidRPr="00A45BCF">
        <w:t xml:space="preserve">1. España. Ley 31/1995, de 8 de noviembre, de Prevención de Riesgos Laborales. Boletín Oficial del Estado, </w:t>
      </w:r>
      <w:proofErr w:type="spellStart"/>
      <w:r w:rsidRPr="00A45BCF">
        <w:t>nº</w:t>
      </w:r>
      <w:proofErr w:type="spellEnd"/>
      <w:r w:rsidRPr="00A45BCF">
        <w:t xml:space="preserve"> 269, de 10 de noviembre de 1995.</w:t>
      </w:r>
    </w:p>
    <w:p w14:paraId="589BDDB8" w14:textId="77777777" w:rsidR="00A45BCF" w:rsidRPr="00A45BCF" w:rsidRDefault="00A45BCF" w:rsidP="00A45BCF">
      <w:pPr>
        <w:jc w:val="both"/>
      </w:pPr>
      <w:r w:rsidRPr="00A45BCF">
        <w:t xml:space="preserve">2. España. Real Decreto 39/1997, de 17 de enero, por el que se aprueba el Reglamento de los Servicios de Prevención. Boletín Oficial del Estado, </w:t>
      </w:r>
      <w:proofErr w:type="spellStart"/>
      <w:r w:rsidRPr="00A45BCF">
        <w:t>nº</w:t>
      </w:r>
      <w:proofErr w:type="spellEnd"/>
      <w:r w:rsidRPr="00A45BCF">
        <w:t xml:space="preserve"> 27, de 31 de enero de 1997.</w:t>
      </w:r>
    </w:p>
    <w:p w14:paraId="6E95C3C4" w14:textId="77777777" w:rsidR="00A45BCF" w:rsidRPr="00A45BCF" w:rsidRDefault="00A45BCF" w:rsidP="00A45BCF">
      <w:pPr>
        <w:jc w:val="both"/>
      </w:pPr>
      <w:r w:rsidRPr="00A45BCF">
        <w:t xml:space="preserve">3. España. Real Decreto 488/1997, de 14 de abril, sobre disposiciones mínimas de seguridad y salud relativas al trabajo con equipos que incluyen pantallas de visualización. Boletín Oficial del Estado, </w:t>
      </w:r>
      <w:proofErr w:type="spellStart"/>
      <w:r w:rsidRPr="00A45BCF">
        <w:t>nº</w:t>
      </w:r>
      <w:proofErr w:type="spellEnd"/>
      <w:r w:rsidRPr="00A45BCF">
        <w:t xml:space="preserve"> 97, de 23 de abril de 1997.</w:t>
      </w:r>
    </w:p>
    <w:p w14:paraId="028433F0" w14:textId="77777777" w:rsidR="00A45BCF" w:rsidRPr="00A45BCF" w:rsidRDefault="00A45BCF" w:rsidP="00A45BCF">
      <w:pPr>
        <w:jc w:val="both"/>
      </w:pPr>
      <w:r w:rsidRPr="00A45BCF">
        <w:t>4. Instituto Nacional de Seguridad y Salud en el Trabajo (INSST). El método F-PSICO: evaluación de factores psicosociales. Madrid: INSST; 2021.</w:t>
      </w:r>
    </w:p>
    <w:p w14:paraId="24C929DF" w14:textId="77777777" w:rsidR="00A45BCF" w:rsidRPr="00A45BCF" w:rsidRDefault="00A45BCF" w:rsidP="00A45BCF">
      <w:pPr>
        <w:jc w:val="both"/>
      </w:pPr>
      <w:r w:rsidRPr="00A45BCF">
        <w:lastRenderedPageBreak/>
        <w:t>5. Instituto Nacional de Seguridad y Salud en el Trabajo (INSST). Guía técnica para la evaluación de riesgos con pantallas de visualización de datos. Madrid: INSST; 2021.</w:t>
      </w:r>
    </w:p>
    <w:p w14:paraId="545825E2" w14:textId="77777777" w:rsidR="00A45BCF" w:rsidRPr="00A45BCF" w:rsidRDefault="00A45BCF" w:rsidP="00A45BCF">
      <w:pPr>
        <w:jc w:val="both"/>
      </w:pPr>
      <w:r w:rsidRPr="00A45BCF">
        <w:t>6. Gascón S, Martínez-Jarreta B, González-Andrade JF. Violencia laboral en el ámbito sanitario: prevalencia y factores asociados. Med Segur Trab. 2018;64(251):112-124.</w:t>
      </w:r>
    </w:p>
    <w:p w14:paraId="4201D562" w14:textId="77777777" w:rsidR="00227B7E" w:rsidRDefault="00227B7E" w:rsidP="00CE24EF">
      <w:pPr>
        <w:jc w:val="both"/>
      </w:pPr>
    </w:p>
    <w:p w14:paraId="6389B8EE" w14:textId="77777777" w:rsidR="00A45BCF" w:rsidRDefault="00A45BCF" w:rsidP="00CE24EF">
      <w:pPr>
        <w:jc w:val="both"/>
      </w:pPr>
    </w:p>
    <w:p w14:paraId="4BB142FD" w14:textId="77777777" w:rsidR="00A45BCF" w:rsidRDefault="00A45BCF" w:rsidP="00CE24EF">
      <w:pPr>
        <w:jc w:val="both"/>
      </w:pPr>
    </w:p>
    <w:p w14:paraId="10257868" w14:textId="77777777" w:rsidR="00A45BCF" w:rsidRDefault="00A45BCF" w:rsidP="00CE24EF">
      <w:pPr>
        <w:jc w:val="both"/>
      </w:pPr>
    </w:p>
    <w:p w14:paraId="08195CED" w14:textId="77777777" w:rsidR="00A45BCF" w:rsidRDefault="00A45BCF" w:rsidP="00CE24EF">
      <w:pPr>
        <w:jc w:val="both"/>
      </w:pPr>
    </w:p>
    <w:p w14:paraId="5C4FD3F4" w14:textId="77777777" w:rsidR="00A45BCF" w:rsidRDefault="00A45BCF" w:rsidP="00CE24EF">
      <w:pPr>
        <w:jc w:val="both"/>
      </w:pPr>
    </w:p>
    <w:p w14:paraId="2978DF64" w14:textId="77777777" w:rsidR="00A45BCF" w:rsidRDefault="00A45BCF" w:rsidP="00CE24EF">
      <w:pPr>
        <w:jc w:val="both"/>
      </w:pPr>
    </w:p>
    <w:p w14:paraId="3FFD40A5" w14:textId="77777777" w:rsidR="00A45BCF" w:rsidRDefault="00A45BCF" w:rsidP="00CE24EF">
      <w:pPr>
        <w:jc w:val="both"/>
      </w:pPr>
    </w:p>
    <w:p w14:paraId="7EE0522C" w14:textId="77777777" w:rsidR="00A45BCF" w:rsidRDefault="00A45BCF" w:rsidP="00CE24EF">
      <w:pPr>
        <w:jc w:val="both"/>
      </w:pPr>
    </w:p>
    <w:p w14:paraId="43FF0B14" w14:textId="77777777" w:rsidR="00A45BCF" w:rsidRDefault="00A45BCF" w:rsidP="00CE24EF">
      <w:pPr>
        <w:jc w:val="both"/>
      </w:pPr>
    </w:p>
    <w:p w14:paraId="2E2ACCB0" w14:textId="77777777" w:rsidR="00A45BCF" w:rsidRDefault="00A45BCF" w:rsidP="00CE24EF">
      <w:pPr>
        <w:jc w:val="both"/>
      </w:pPr>
    </w:p>
    <w:p w14:paraId="5544D9EA" w14:textId="77777777" w:rsidR="00A45BCF" w:rsidRDefault="00A45BCF" w:rsidP="00CE24EF">
      <w:pPr>
        <w:jc w:val="both"/>
      </w:pPr>
    </w:p>
    <w:p w14:paraId="48D39FA3" w14:textId="77777777" w:rsidR="00A45BCF" w:rsidRDefault="00A45BCF" w:rsidP="00CE24EF">
      <w:pPr>
        <w:jc w:val="both"/>
      </w:pPr>
    </w:p>
    <w:p w14:paraId="0E942B65" w14:textId="77777777" w:rsidR="00A45BCF" w:rsidRDefault="00A45BCF" w:rsidP="00CE24EF">
      <w:pPr>
        <w:jc w:val="both"/>
      </w:pPr>
    </w:p>
    <w:p w14:paraId="029B3231" w14:textId="77777777" w:rsidR="00A45BCF" w:rsidRDefault="00A45BCF" w:rsidP="00CE24EF">
      <w:pPr>
        <w:jc w:val="both"/>
      </w:pPr>
    </w:p>
    <w:p w14:paraId="587AF9D4" w14:textId="77777777" w:rsidR="00A45BCF" w:rsidRDefault="00A45BCF" w:rsidP="00CE24EF">
      <w:pPr>
        <w:jc w:val="both"/>
      </w:pPr>
    </w:p>
    <w:p w14:paraId="256A1104" w14:textId="77777777" w:rsidR="00A45BCF" w:rsidRDefault="00A45BCF" w:rsidP="00CE24EF">
      <w:pPr>
        <w:jc w:val="both"/>
      </w:pPr>
    </w:p>
    <w:p w14:paraId="465DD9EB" w14:textId="77777777" w:rsidR="00A45BCF" w:rsidRDefault="00A45BCF" w:rsidP="00CE24EF">
      <w:pPr>
        <w:jc w:val="both"/>
      </w:pPr>
    </w:p>
    <w:p w14:paraId="0EA1EF88" w14:textId="77777777" w:rsidR="00A45BCF" w:rsidRDefault="00A45BCF" w:rsidP="00CE24EF">
      <w:pPr>
        <w:jc w:val="both"/>
      </w:pPr>
    </w:p>
    <w:p w14:paraId="3DE1B6D2" w14:textId="77777777" w:rsidR="00A45BCF" w:rsidRDefault="00A45BCF" w:rsidP="00CE24EF">
      <w:pPr>
        <w:jc w:val="both"/>
      </w:pPr>
    </w:p>
    <w:p w14:paraId="12A56B63" w14:textId="77777777" w:rsidR="00A45BCF" w:rsidRDefault="00A45BCF" w:rsidP="00CE24EF">
      <w:pPr>
        <w:jc w:val="both"/>
      </w:pPr>
    </w:p>
    <w:p w14:paraId="23FB4139" w14:textId="77777777" w:rsidR="00A45BCF" w:rsidRDefault="00A45BCF" w:rsidP="00CE24EF">
      <w:pPr>
        <w:jc w:val="both"/>
      </w:pPr>
    </w:p>
    <w:p w14:paraId="5B9DB991" w14:textId="77777777" w:rsidR="00A45BCF" w:rsidRDefault="00A45BCF" w:rsidP="00CE24EF">
      <w:pPr>
        <w:jc w:val="both"/>
      </w:pPr>
    </w:p>
    <w:p w14:paraId="01DF89F0" w14:textId="77777777" w:rsidR="00A45BCF" w:rsidRDefault="00A45BCF" w:rsidP="00CE24EF">
      <w:pPr>
        <w:jc w:val="both"/>
      </w:pPr>
    </w:p>
    <w:p w14:paraId="22370533" w14:textId="77777777" w:rsidR="00A45BCF" w:rsidRPr="00A45BCF" w:rsidRDefault="00A45BCF" w:rsidP="00A45BCF">
      <w:pPr>
        <w:jc w:val="both"/>
      </w:pPr>
      <w:r w:rsidRPr="00A45BCF">
        <w:rPr>
          <w:b/>
          <w:bCs/>
        </w:rPr>
        <w:lastRenderedPageBreak/>
        <w:t>Calidad asistencial y sistemas de gestión de la calidad en el hospital: el papel del auxiliar administrativo</w:t>
      </w:r>
    </w:p>
    <w:p w14:paraId="2E84501B" w14:textId="77777777" w:rsidR="00A45BCF" w:rsidRPr="00A45BCF" w:rsidRDefault="00A45BCF" w:rsidP="00A45BCF">
      <w:pPr>
        <w:jc w:val="both"/>
        <w:rPr>
          <w:b/>
          <w:bCs/>
        </w:rPr>
      </w:pPr>
      <w:r w:rsidRPr="00A45BCF">
        <w:rPr>
          <w:b/>
          <w:bCs/>
        </w:rPr>
        <w:t>Resumen</w:t>
      </w:r>
    </w:p>
    <w:p w14:paraId="2501D8BA" w14:textId="77777777" w:rsidR="00A45BCF" w:rsidRPr="00A45BCF" w:rsidRDefault="00A45BCF" w:rsidP="00A45BCF">
      <w:pPr>
        <w:jc w:val="both"/>
      </w:pPr>
      <w:r w:rsidRPr="00A45BCF">
        <w:t xml:space="preserve">La calidad asistencial se ha consolidado como un eje estratégico de los sistemas sanitarios, formalizado en España a través de la Ley 16/2003, de cohesión y calidad del Sistema Nacional de Salud, y desarrollado en la práctica mediante distintos modelos de gestión de la calidad (ISO 9001, modelo EFQM de excelencia, estándares de acreditación como los de la Joint </w:t>
      </w:r>
      <w:proofErr w:type="spellStart"/>
      <w:r w:rsidRPr="00A45BCF">
        <w:t>Commission</w:t>
      </w:r>
      <w:proofErr w:type="spellEnd"/>
      <w:r w:rsidRPr="00A45BCF">
        <w:t xml:space="preserve"> International). Este trabajo revisa, a partir del análisis normativo y de la literatura sobre gestión de la calidad sanitaria, la aplicación de estos modelos a los procesos administrativos hospitalarios, y el papel específico del auxiliar administrativo en su implementación y mantenimiento. Los resultados muestran que buena parte de los indicadores de calidad más relevantes para la experiencia del paciente (tiempos de espera, correcta identificación, gestión de quejas, calidad documental) dependen directamente de procesos administrativos, lo que sitúa a este perfil profesional en una posición central, aunque no siempre reconocida como tal, en los sistemas de gestión de la calidad hospitalaria.</w:t>
      </w:r>
    </w:p>
    <w:p w14:paraId="52E424E5" w14:textId="77777777" w:rsidR="00A45BCF" w:rsidRPr="00A45BCF" w:rsidRDefault="00A45BCF" w:rsidP="00A45BCF">
      <w:pPr>
        <w:jc w:val="both"/>
      </w:pPr>
      <w:r w:rsidRPr="00A45BCF">
        <w:rPr>
          <w:b/>
          <w:bCs/>
        </w:rPr>
        <w:t xml:space="preserve">Palabras clave: </w:t>
      </w:r>
      <w:r w:rsidRPr="00A45BCF">
        <w:rPr>
          <w:i/>
          <w:iCs/>
        </w:rPr>
        <w:t>Calidad asistencial; Gestión de la calidad; Acreditación sanitaria; Mejora continua; Auxiliar administrativo.</w:t>
      </w:r>
    </w:p>
    <w:p w14:paraId="1568506B" w14:textId="77777777" w:rsidR="00A45BCF" w:rsidRPr="00A45BCF" w:rsidRDefault="00A45BCF" w:rsidP="00A45BCF">
      <w:pPr>
        <w:jc w:val="both"/>
        <w:rPr>
          <w:b/>
          <w:bCs/>
          <w:lang w:val="en-GB"/>
        </w:rPr>
      </w:pPr>
      <w:r w:rsidRPr="00A45BCF">
        <w:rPr>
          <w:b/>
          <w:bCs/>
          <w:lang w:val="en-GB"/>
        </w:rPr>
        <w:t>Abstract</w:t>
      </w:r>
    </w:p>
    <w:p w14:paraId="5DE1C993" w14:textId="77777777" w:rsidR="00A45BCF" w:rsidRPr="00A45BCF" w:rsidRDefault="00A45BCF" w:rsidP="00A45BCF">
      <w:pPr>
        <w:jc w:val="both"/>
        <w:rPr>
          <w:lang w:val="en-GB"/>
        </w:rPr>
      </w:pPr>
      <w:r w:rsidRPr="00A45BCF">
        <w:rPr>
          <w:lang w:val="en-GB"/>
        </w:rPr>
        <w:t>Quality of care has become a strategic axis of health systems, formalised in Spain through Law 16/2003 on cohesion and quality of the National Health System, and implemented in practice through various quality management models (ISO 9001, EFQM excellence model, accreditation standards such as those of the Joint Commission International). This paper reviews, through regulatory and quality management literature analysis, the application of these models to hospital administrative processes, and the specific role of administrative assistants in their implementation and maintenance. Results show that many of the quality indicators most relevant to patient experience (waiting times, correct identification, complaint management, documentation quality) directly depend on administrative processes, placing this professional profile in a central, though not always recognised, position within hospital quality management systems.</w:t>
      </w:r>
    </w:p>
    <w:p w14:paraId="39FEE8CA" w14:textId="77777777" w:rsidR="00A45BCF" w:rsidRPr="00A45BCF" w:rsidRDefault="00A45BCF" w:rsidP="00A45BCF">
      <w:pPr>
        <w:jc w:val="both"/>
        <w:rPr>
          <w:lang w:val="en-GB"/>
        </w:rPr>
      </w:pPr>
      <w:r w:rsidRPr="00A45BCF">
        <w:rPr>
          <w:b/>
          <w:bCs/>
          <w:lang w:val="en-GB"/>
        </w:rPr>
        <w:t xml:space="preserve">Keywords: </w:t>
      </w:r>
      <w:r w:rsidRPr="00A45BCF">
        <w:rPr>
          <w:i/>
          <w:iCs/>
          <w:lang w:val="en-GB"/>
        </w:rPr>
        <w:t>Quality of care; Quality management; Healthcare accreditation; Continuous improvement; Administrative assistant.</w:t>
      </w:r>
    </w:p>
    <w:p w14:paraId="033565CD" w14:textId="77777777" w:rsidR="00A45BCF" w:rsidRPr="00A45BCF" w:rsidRDefault="00A45BCF" w:rsidP="00A45BCF">
      <w:pPr>
        <w:jc w:val="both"/>
        <w:rPr>
          <w:b/>
          <w:bCs/>
        </w:rPr>
      </w:pPr>
      <w:r w:rsidRPr="00A45BCF">
        <w:rPr>
          <w:b/>
          <w:bCs/>
        </w:rPr>
        <w:t>1. Introducción</w:t>
      </w:r>
    </w:p>
    <w:p w14:paraId="328F29D6" w14:textId="77777777" w:rsidR="00A45BCF" w:rsidRPr="00A45BCF" w:rsidRDefault="00A45BCF" w:rsidP="00A45BCF">
      <w:pPr>
        <w:jc w:val="both"/>
      </w:pPr>
      <w:r w:rsidRPr="00A45BCF">
        <w:t xml:space="preserve">La Ley 16/2003, de 28 de mayo, de cohesión y calidad del Sistema Nacional de Salud, estableció el marco legal para el desarrollo de políticas de calidad en el </w:t>
      </w:r>
      <w:r w:rsidRPr="00A45BCF">
        <w:lastRenderedPageBreak/>
        <w:t xml:space="preserve">conjunto del sistema sanitario español, dando pie al desarrollo de planes de calidad tanto a nivel estatal como en cada una de las comunidades autónomas (1). En este contexto, numerosos centros hospitalarios españoles han implementado, de forma voluntaria y complementaria a las exigencias legales, distintos modelos de gestión de la calidad de reconocimiento internacional, como la norma ISO 9001, el modelo EFQM de excelencia, o estándares de acreditación específicos del ámbito sanitario, como los de la Joint </w:t>
      </w:r>
      <w:proofErr w:type="spellStart"/>
      <w:r w:rsidRPr="00A45BCF">
        <w:t>Commission</w:t>
      </w:r>
      <w:proofErr w:type="spellEnd"/>
      <w:r w:rsidRPr="00A45BCF">
        <w:t xml:space="preserve"> International (JCI).</w:t>
      </w:r>
    </w:p>
    <w:p w14:paraId="3944D1B5" w14:textId="77777777" w:rsidR="00A45BCF" w:rsidRPr="00A45BCF" w:rsidRDefault="00A45BCF" w:rsidP="00A45BCF">
      <w:pPr>
        <w:jc w:val="both"/>
      </w:pPr>
      <w:r w:rsidRPr="00A45BCF">
        <w:t>Estos modelos, aunque de origen y enfoque diversos, comparten un elemento común: exigen la documentación, estandarización y evaluación periódica de los procesos de la organización, incluidos los procesos administrativos. En un hospital, buena parte de estos procesos administrativos —admisión, gestión documental, información al paciente— son responsabilidad directa del auxiliar administrativo, lo que le convierte en un actor relevante, aunque no siempre visibilizado como tal, de los sistemas de gestión de la calidad.</w:t>
      </w:r>
    </w:p>
    <w:p w14:paraId="202DEADE" w14:textId="77777777" w:rsidR="00A45BCF" w:rsidRPr="00A45BCF" w:rsidRDefault="00A45BCF" w:rsidP="00A45BCF">
      <w:pPr>
        <w:jc w:val="both"/>
      </w:pPr>
      <w:r w:rsidRPr="00A45BCF">
        <w:t>El objetivo de este trabajo es analizar, mediante una revisión del marco normativo y de la literatura sobre gestión de la calidad sanitaria, la aplicación de los principales modelos de calidad a los procesos administrativos hospitalarios y el papel específico que en ellos desempeña el auxiliar administrativo.</w:t>
      </w:r>
    </w:p>
    <w:p w14:paraId="1C97FF86" w14:textId="77777777" w:rsidR="00A45BCF" w:rsidRPr="00A45BCF" w:rsidRDefault="00A45BCF" w:rsidP="00A45BCF">
      <w:pPr>
        <w:jc w:val="both"/>
        <w:rPr>
          <w:b/>
          <w:bCs/>
        </w:rPr>
      </w:pPr>
      <w:r w:rsidRPr="00A45BCF">
        <w:rPr>
          <w:b/>
          <w:bCs/>
        </w:rPr>
        <w:t>2. Metodología</w:t>
      </w:r>
    </w:p>
    <w:p w14:paraId="0E3265FD" w14:textId="77777777" w:rsidR="00A45BCF" w:rsidRPr="00A45BCF" w:rsidRDefault="00A45BCF" w:rsidP="00A45BCF">
      <w:pPr>
        <w:jc w:val="both"/>
      </w:pPr>
      <w:r w:rsidRPr="00A45BCF">
        <w:t xml:space="preserve">Se ha realizado una revisión documental de la Ley 16/2003, de cohesión y calidad del Sistema Nacional de Salud, y de los planes de calidad publicados por el Ministerio de Sanidad y por distintas consejerías autonómicas de sanidad. Se ha complementado con literatura técnica sobre la aplicación de la norma ISO 9001:2015, el modelo EFQM y los estándares de la Joint </w:t>
      </w:r>
      <w:proofErr w:type="spellStart"/>
      <w:r w:rsidRPr="00A45BCF">
        <w:t>Commission</w:t>
      </w:r>
      <w:proofErr w:type="spellEnd"/>
      <w:r w:rsidRPr="00A45BCF">
        <w:t xml:space="preserve"> International al ámbito hospitalario, disponible en Scielo y Dialnet.</w:t>
      </w:r>
    </w:p>
    <w:p w14:paraId="3E7F5821" w14:textId="77777777" w:rsidR="00A45BCF" w:rsidRPr="00A45BCF" w:rsidRDefault="00A45BCF" w:rsidP="00A45BCF">
      <w:pPr>
        <w:jc w:val="both"/>
      </w:pPr>
      <w:r w:rsidRPr="00A45BCF">
        <w:t>Se ha prestado especial atención, dentro de estos modelos, a los criterios y estándares directamente relacionados con procesos administrativos (gestión documental, identificación de pacientes, gestión de quejas y sugerencias, tiempos de espera), por ser los de mayor relevancia para el objeto de este trabajo.</w:t>
      </w:r>
    </w:p>
    <w:p w14:paraId="3664ACD3" w14:textId="77777777" w:rsidR="00A45BCF" w:rsidRPr="00A45BCF" w:rsidRDefault="00A45BCF" w:rsidP="00A45BCF">
      <w:pPr>
        <w:jc w:val="both"/>
      </w:pPr>
      <w:r w:rsidRPr="00A45BCF">
        <w:t>La información obtenida se ha organizado en tres bloques: (a) el marco legal de la calidad en el Sistema Nacional de Salud; (b) los principales modelos de gestión de la calidad aplicados en hospitales españoles y sus componentes de naturaleza administrativa; y (c) el papel específico del auxiliar administrativo en su implementación.</w:t>
      </w:r>
    </w:p>
    <w:p w14:paraId="4F46F564" w14:textId="77777777" w:rsidR="00A45BCF" w:rsidRPr="00A45BCF" w:rsidRDefault="00A45BCF" w:rsidP="00A45BCF">
      <w:pPr>
        <w:jc w:val="both"/>
        <w:rPr>
          <w:b/>
          <w:bCs/>
        </w:rPr>
      </w:pPr>
      <w:r w:rsidRPr="00A45BCF">
        <w:rPr>
          <w:b/>
          <w:bCs/>
        </w:rPr>
        <w:t>3. Resultados</w:t>
      </w:r>
    </w:p>
    <w:p w14:paraId="7040D5E4" w14:textId="77777777" w:rsidR="00A45BCF" w:rsidRPr="00A45BCF" w:rsidRDefault="00A45BCF" w:rsidP="00A45BCF">
      <w:pPr>
        <w:jc w:val="both"/>
      </w:pPr>
      <w:r w:rsidRPr="00A45BCF">
        <w:t>El análisis de las fuentes revisadas permite identificar los siguientes resultados principales:</w:t>
      </w:r>
    </w:p>
    <w:p w14:paraId="025A807F" w14:textId="77777777" w:rsidR="00A45BCF" w:rsidRPr="00A45BCF" w:rsidRDefault="00A45BCF" w:rsidP="00A45BCF">
      <w:pPr>
        <w:numPr>
          <w:ilvl w:val="0"/>
          <w:numId w:val="17"/>
        </w:numPr>
        <w:jc w:val="both"/>
      </w:pPr>
      <w:r w:rsidRPr="00A45BCF">
        <w:lastRenderedPageBreak/>
        <w:t>Marco legal: la Ley 16/2003 establece, entre los elementos de la infraestructura para la calidad del Sistema Nacional de Salud, la elaboración de guías de práctica clínica, el registro de acontecimientos adversos y el establecimiento de indicadores y estándares de calidad, así como el fomento de la acreditación de centros y servicios, sin imponer un modelo único de gestión de la calidad.</w:t>
      </w:r>
    </w:p>
    <w:p w14:paraId="65003491" w14:textId="77777777" w:rsidR="00A45BCF" w:rsidRPr="00A45BCF" w:rsidRDefault="00A45BCF" w:rsidP="00A45BCF">
      <w:pPr>
        <w:numPr>
          <w:ilvl w:val="0"/>
          <w:numId w:val="17"/>
        </w:numPr>
        <w:jc w:val="both"/>
      </w:pPr>
      <w:r w:rsidRPr="00A45BCF">
        <w:t>Norma ISO 9001: modelo de gestión de la calidad basado en la estandarización y documentación de procesos, que exige la existencia de procedimientos normalizados de trabajo (PNT) para las actividades relevantes de la organización, entre ellas numerosos procesos administrativos hospitalarios (admisión, archivo, gestión de citas), así como la realización de auditorías internas periódicas de cumplimiento.</w:t>
      </w:r>
    </w:p>
    <w:p w14:paraId="53ED93DD" w14:textId="77777777" w:rsidR="00A45BCF" w:rsidRPr="00A45BCF" w:rsidRDefault="00A45BCF" w:rsidP="00A45BCF">
      <w:pPr>
        <w:numPr>
          <w:ilvl w:val="0"/>
          <w:numId w:val="17"/>
        </w:numPr>
        <w:jc w:val="both"/>
      </w:pPr>
      <w:r w:rsidRPr="00A45BCF">
        <w:t>Modelo EFQM de excelencia: modelo de gestión integral que incluye, entre sus criterios de resultados, los «resultados en los clientes» (pacientes y usuarios), estrechamente vinculados a la calidad de la atención administrativa recibida (tiempos de espera, amabilidad en el trato, claridad de la información), lo que otorga al trabajo administrativo un peso relevante en la evaluación global de la organización según este modelo.</w:t>
      </w:r>
    </w:p>
    <w:p w14:paraId="5C4E796C" w14:textId="77777777" w:rsidR="00A45BCF" w:rsidRPr="00A45BCF" w:rsidRDefault="00A45BCF" w:rsidP="00A45BCF">
      <w:pPr>
        <w:numPr>
          <w:ilvl w:val="0"/>
          <w:numId w:val="17"/>
        </w:numPr>
        <w:jc w:val="both"/>
      </w:pPr>
      <w:r w:rsidRPr="00A45BCF">
        <w:t xml:space="preserve">Estándares de acreditación (Joint </w:t>
      </w:r>
      <w:proofErr w:type="spellStart"/>
      <w:r w:rsidRPr="00A45BCF">
        <w:t>Commission</w:t>
      </w:r>
      <w:proofErr w:type="spellEnd"/>
      <w:r w:rsidRPr="00A45BCF">
        <w:t xml:space="preserve"> International y modelos autonómicos equivalentes): incluyen de forma explícita estándares relativos a la identificación correcta del paciente en todos los puntos del proceso asistencial, siendo la identificación en el momento de la admisión —función administrativa por excelencia— uno de los primeros y más críticos puntos de control de estos sistemas de acreditación.</w:t>
      </w:r>
    </w:p>
    <w:p w14:paraId="499512E7" w14:textId="77777777" w:rsidR="00A45BCF" w:rsidRPr="00A45BCF" w:rsidRDefault="00A45BCF" w:rsidP="00A45BCF">
      <w:pPr>
        <w:numPr>
          <w:ilvl w:val="0"/>
          <w:numId w:val="17"/>
        </w:numPr>
        <w:jc w:val="both"/>
      </w:pPr>
      <w:r w:rsidRPr="00A45BCF">
        <w:t>Indicadores de calidad de naturaleza administrativa: tiempos de espera en admisión y consultas, tasa de errores de identificación de pacientes, tiempo de tramitación de altas, tasa de quejas y reclamaciones gestionadas en primer nivel, y completitud y calidad de la documentación clínica archivada, todos ellos indicadores en los que el desempeño del personal administrativo tiene una influencia determinante.</w:t>
      </w:r>
    </w:p>
    <w:p w14:paraId="77030C9E" w14:textId="77777777" w:rsidR="00A45BCF" w:rsidRPr="00A45BCF" w:rsidRDefault="00A45BCF" w:rsidP="00A45BCF">
      <w:pPr>
        <w:jc w:val="both"/>
        <w:rPr>
          <w:b/>
          <w:bCs/>
        </w:rPr>
      </w:pPr>
      <w:r w:rsidRPr="00A45BCF">
        <w:rPr>
          <w:b/>
          <w:bCs/>
        </w:rPr>
        <w:t>4. Discusión</w:t>
      </w:r>
    </w:p>
    <w:p w14:paraId="4B080E65" w14:textId="77777777" w:rsidR="00A45BCF" w:rsidRPr="00A45BCF" w:rsidRDefault="00A45BCF" w:rsidP="00A45BCF">
      <w:pPr>
        <w:jc w:val="both"/>
      </w:pPr>
      <w:r w:rsidRPr="00A45BCF">
        <w:t>Los resultados de esta revisión permiten concluir que los sistemas de gestión de la calidad hospitalaria, con independencia del modelo concreto adoptado por cada centro, dependen en una medida muy significativa del correcto desempeño de los procesos administrativos, y por tanto del trabajo del auxiliar administrativo, aunque esta dependencia no siempre se traduce en una implicación explícita y reconocida de este colectivo profesional en el diseño e implementación de los sistemas de calidad.</w:t>
      </w:r>
    </w:p>
    <w:p w14:paraId="0F1D226B" w14:textId="77777777" w:rsidR="00A45BCF" w:rsidRPr="00A45BCF" w:rsidRDefault="00A45BCF" w:rsidP="00A45BCF">
      <w:pPr>
        <w:jc w:val="both"/>
      </w:pPr>
      <w:r w:rsidRPr="00A45BCF">
        <w:lastRenderedPageBreak/>
        <w:t>La exigencia de documentación y estandarización de procesos propia de modelos como la norma ISO 9001 representa, para el personal administrativo, tanto una carga de trabajo adicional (elaboración y actualización de procedimientos, participación en auditorías) como una oportunidad de formalizar y reconocer buenas prácticas ya existentes en la actividad diaria, que en ausencia de un sistema de calidad formal permanecen a menudo como conocimiento tácito no documentado.</w:t>
      </w:r>
    </w:p>
    <w:p w14:paraId="6BBE21A9" w14:textId="77777777" w:rsidR="00A45BCF" w:rsidRPr="00A45BCF" w:rsidRDefault="00A45BCF" w:rsidP="00A45BCF">
      <w:pPr>
        <w:jc w:val="both"/>
      </w:pPr>
      <w:r w:rsidRPr="00A45BCF">
        <w:t>Se observa, asimismo, que la correcta identificación del paciente en el momento de la admisión, función eminentemente administrativa, constituye uno de los estándares más universalmente exigidos por los distintos modelos de acreditación sanitaria, lo que confirma la relevancia crítica de esta función para la seguridad del paciente, en línea con lo señalado en otra de las publicaciones de esta serie centrada específicamente en el proceso de admisión.</w:t>
      </w:r>
    </w:p>
    <w:p w14:paraId="781E3279" w14:textId="77777777" w:rsidR="00A45BCF" w:rsidRPr="00A45BCF" w:rsidRDefault="00A45BCF" w:rsidP="00A45BCF">
      <w:pPr>
        <w:jc w:val="both"/>
      </w:pPr>
      <w:r w:rsidRPr="00A45BCF">
        <w:t xml:space="preserve">Por último, se identifica como área de mejora la necesidad de una mayor </w:t>
      </w:r>
      <w:proofErr w:type="gramStart"/>
      <w:r w:rsidRPr="00A45BCF">
        <w:t>participación activa</w:t>
      </w:r>
      <w:proofErr w:type="gramEnd"/>
      <w:r w:rsidRPr="00A45BCF">
        <w:t xml:space="preserve"> del personal administrativo, no solo como ejecutor de procedimientos definidos por otros, sino como participante en los grupos de mejora continua y en el diseño de los propios procesos que le afectan directamente, aprovechando su conocimiento experto de la operativa diaria.</w:t>
      </w:r>
    </w:p>
    <w:p w14:paraId="39834352" w14:textId="77777777" w:rsidR="00A45BCF" w:rsidRPr="00A45BCF" w:rsidRDefault="00A45BCF" w:rsidP="00A45BCF">
      <w:pPr>
        <w:jc w:val="both"/>
        <w:rPr>
          <w:b/>
          <w:bCs/>
        </w:rPr>
      </w:pPr>
      <w:r w:rsidRPr="00A45BCF">
        <w:rPr>
          <w:b/>
          <w:bCs/>
        </w:rPr>
        <w:t>5. Conclusiones</w:t>
      </w:r>
    </w:p>
    <w:p w14:paraId="7BBA61E6" w14:textId="77777777" w:rsidR="00A45BCF" w:rsidRPr="00A45BCF" w:rsidRDefault="00A45BCF" w:rsidP="00A45BCF">
      <w:pPr>
        <w:jc w:val="both"/>
      </w:pPr>
      <w:r w:rsidRPr="00A45BCF">
        <w:t>Los sistemas de gestión de la calidad hospitalaria, ya se trate de modelos normativos como la ISO 9001, modelos de excelencia como el EFQM, o estándares de acreditación específicos del ámbito sanitario, dependen en gran medida del correcto desempeño de los procesos administrativos hospitalarios.</w:t>
      </w:r>
    </w:p>
    <w:p w14:paraId="384AAED7" w14:textId="77777777" w:rsidR="00A45BCF" w:rsidRPr="00A45BCF" w:rsidRDefault="00A45BCF" w:rsidP="00A45BCF">
      <w:pPr>
        <w:jc w:val="both"/>
      </w:pPr>
      <w:r w:rsidRPr="00A45BCF">
        <w:t>Indicadores de calidad de gran relevancia para la seguridad y la experiencia del paciente —identificación correcta, tiempos de espera, gestión de quejas, calidad documental— están directamente vinculados al trabajo del auxiliar administrativo, lo que confiere a este perfil profesional un papel central, aunque no siempre suficientemente reconocido, en la calidad asistencial global del centro.</w:t>
      </w:r>
    </w:p>
    <w:p w14:paraId="2422325E" w14:textId="77777777" w:rsidR="00A45BCF" w:rsidRPr="00A45BCF" w:rsidRDefault="00A45BCF" w:rsidP="00A45BCF">
      <w:pPr>
        <w:jc w:val="both"/>
      </w:pPr>
      <w:r w:rsidRPr="00A45BCF">
        <w:t xml:space="preserve">Se recomienda fomentar la </w:t>
      </w:r>
      <w:proofErr w:type="gramStart"/>
      <w:r w:rsidRPr="00A45BCF">
        <w:t>participación activa</w:t>
      </w:r>
      <w:proofErr w:type="gramEnd"/>
      <w:r w:rsidRPr="00A45BCF">
        <w:t xml:space="preserve"> del personal administrativo en los sistemas de gestión de la calidad de los centros hospitalarios, tanto en su implementación como en los grupos de mejora continua, como vía para aprovechar su conocimiento experto y reforzar su reconocimiento profesional dentro de la organización.</w:t>
      </w:r>
    </w:p>
    <w:p w14:paraId="4EF305D5" w14:textId="77777777" w:rsidR="00A45BCF" w:rsidRPr="00A45BCF" w:rsidRDefault="00A45BCF" w:rsidP="00A45BCF">
      <w:pPr>
        <w:jc w:val="both"/>
        <w:rPr>
          <w:b/>
          <w:bCs/>
        </w:rPr>
      </w:pPr>
      <w:r w:rsidRPr="00A45BCF">
        <w:rPr>
          <w:b/>
          <w:bCs/>
        </w:rPr>
        <w:t>Bibliografía</w:t>
      </w:r>
    </w:p>
    <w:p w14:paraId="5C33935F" w14:textId="77777777" w:rsidR="00A45BCF" w:rsidRPr="00A45BCF" w:rsidRDefault="00A45BCF" w:rsidP="00A45BCF">
      <w:pPr>
        <w:jc w:val="both"/>
      </w:pPr>
      <w:r w:rsidRPr="00A45BCF">
        <w:rPr>
          <w:i/>
          <w:iCs/>
        </w:rPr>
        <w:t>Referencias citadas según normas de Vancouver, por orden de aparición en el texto:</w:t>
      </w:r>
    </w:p>
    <w:p w14:paraId="41A978EE" w14:textId="77777777" w:rsidR="00A45BCF" w:rsidRPr="00A45BCF" w:rsidRDefault="00A45BCF" w:rsidP="00A45BCF">
      <w:pPr>
        <w:jc w:val="both"/>
      </w:pPr>
      <w:r w:rsidRPr="00A45BCF">
        <w:t xml:space="preserve">1. España. Ley 16/2003, de 28 de mayo, de cohesión y calidad del Sistema Nacional de Salud. Boletín Oficial del Estado, </w:t>
      </w:r>
      <w:proofErr w:type="spellStart"/>
      <w:r w:rsidRPr="00A45BCF">
        <w:t>nº</w:t>
      </w:r>
      <w:proofErr w:type="spellEnd"/>
      <w:r w:rsidRPr="00A45BCF">
        <w:t xml:space="preserve"> 128, de 29 de mayo de 2003.</w:t>
      </w:r>
    </w:p>
    <w:p w14:paraId="1D911F00" w14:textId="77777777" w:rsidR="00A45BCF" w:rsidRPr="00A45BCF" w:rsidRDefault="00A45BCF" w:rsidP="00A45BCF">
      <w:pPr>
        <w:jc w:val="both"/>
      </w:pPr>
      <w:r w:rsidRPr="00A45BCF">
        <w:lastRenderedPageBreak/>
        <w:t>2. Organización Internacional de Normalización. Norma ISO 9001:2015. Sistemas de gestión de la calidad. Requisitos. Ginebra: ISO; 2015.</w:t>
      </w:r>
    </w:p>
    <w:p w14:paraId="635F02FD" w14:textId="77777777" w:rsidR="00A45BCF" w:rsidRPr="00A45BCF" w:rsidRDefault="00A45BCF" w:rsidP="00A45BCF">
      <w:pPr>
        <w:jc w:val="both"/>
      </w:pPr>
      <w:r w:rsidRPr="00A45BCF">
        <w:t>3. Club Excelencia en Gestión. Modelo EFQM 2020. Madrid: Club Excelencia en Gestión; 2020.</w:t>
      </w:r>
    </w:p>
    <w:p w14:paraId="4F028265" w14:textId="77777777" w:rsidR="00A45BCF" w:rsidRPr="00A45BCF" w:rsidRDefault="00A45BCF" w:rsidP="00A45BCF">
      <w:pPr>
        <w:jc w:val="both"/>
      </w:pPr>
      <w:r w:rsidRPr="00A45BCF">
        <w:t xml:space="preserve">4. Joint </w:t>
      </w:r>
      <w:proofErr w:type="spellStart"/>
      <w:r w:rsidRPr="00A45BCF">
        <w:t>Commission</w:t>
      </w:r>
      <w:proofErr w:type="spellEnd"/>
      <w:r w:rsidRPr="00A45BCF">
        <w:t xml:space="preserve"> International. Estándares de acreditación de la Joint </w:t>
      </w:r>
      <w:proofErr w:type="spellStart"/>
      <w:r w:rsidRPr="00A45BCF">
        <w:t>Commission</w:t>
      </w:r>
      <w:proofErr w:type="spellEnd"/>
      <w:r w:rsidRPr="00A45BCF">
        <w:t xml:space="preserve"> International para hospitales. 7ª ed. Oak Brook (IL): JCI; 2020.</w:t>
      </w:r>
    </w:p>
    <w:p w14:paraId="2E513868" w14:textId="77777777" w:rsidR="00A45BCF" w:rsidRPr="00A45BCF" w:rsidRDefault="00A45BCF" w:rsidP="00A45BCF">
      <w:pPr>
        <w:jc w:val="both"/>
      </w:pPr>
      <w:r w:rsidRPr="00A45BCF">
        <w:t>5. Ministerio de Sanidad. Plan de Calidad para el Sistema Nacional de Salud. Madrid: Ministerio de Sanidad; edición actualizada.</w:t>
      </w:r>
    </w:p>
    <w:p w14:paraId="7CEDADD7" w14:textId="77777777" w:rsidR="00A45BCF" w:rsidRPr="00A45BCF" w:rsidRDefault="00A45BCF" w:rsidP="00A45BCF">
      <w:pPr>
        <w:jc w:val="both"/>
      </w:pPr>
      <w:r w:rsidRPr="00A45BCF">
        <w:t>6. Saturno PJ, Gascón JJ, Parra P. Tratado de calidad asistencial en atención sanitaria. Murcia: Universidad de Murcia; 2015.</w:t>
      </w:r>
    </w:p>
    <w:p w14:paraId="6B926B9F" w14:textId="77777777" w:rsidR="00A45BCF" w:rsidRDefault="00A45BCF" w:rsidP="00CE24EF">
      <w:pPr>
        <w:jc w:val="both"/>
      </w:pPr>
    </w:p>
    <w:p w14:paraId="333E4295" w14:textId="77777777" w:rsidR="00A45BCF" w:rsidRDefault="00A45BCF" w:rsidP="00CE24EF">
      <w:pPr>
        <w:jc w:val="both"/>
      </w:pPr>
    </w:p>
    <w:p w14:paraId="1E717BB8" w14:textId="77777777" w:rsidR="00A45BCF" w:rsidRDefault="00A45BCF" w:rsidP="00CE24EF">
      <w:pPr>
        <w:jc w:val="both"/>
      </w:pPr>
    </w:p>
    <w:p w14:paraId="69460298" w14:textId="77777777" w:rsidR="00A45BCF" w:rsidRDefault="00A45BCF" w:rsidP="00CE24EF">
      <w:pPr>
        <w:jc w:val="both"/>
      </w:pPr>
    </w:p>
    <w:p w14:paraId="193DD5C3" w14:textId="77777777" w:rsidR="00A45BCF" w:rsidRDefault="00A45BCF" w:rsidP="00CE24EF">
      <w:pPr>
        <w:jc w:val="both"/>
      </w:pPr>
    </w:p>
    <w:p w14:paraId="155F8BA5" w14:textId="77777777" w:rsidR="00A45BCF" w:rsidRDefault="00A45BCF" w:rsidP="00CE24EF">
      <w:pPr>
        <w:jc w:val="both"/>
      </w:pPr>
    </w:p>
    <w:p w14:paraId="0C3BD9E9" w14:textId="77777777" w:rsidR="00A45BCF" w:rsidRDefault="00A45BCF" w:rsidP="00CE24EF">
      <w:pPr>
        <w:jc w:val="both"/>
      </w:pPr>
    </w:p>
    <w:p w14:paraId="3CC24C6B" w14:textId="77777777" w:rsidR="00A45BCF" w:rsidRDefault="00A45BCF" w:rsidP="00CE24EF">
      <w:pPr>
        <w:jc w:val="both"/>
      </w:pPr>
    </w:p>
    <w:p w14:paraId="18FE5C3D" w14:textId="77777777" w:rsidR="00A45BCF" w:rsidRDefault="00A45BCF" w:rsidP="00CE24EF">
      <w:pPr>
        <w:jc w:val="both"/>
      </w:pPr>
    </w:p>
    <w:p w14:paraId="41A5A797" w14:textId="77777777" w:rsidR="00A45BCF" w:rsidRDefault="00A45BCF" w:rsidP="00CE24EF">
      <w:pPr>
        <w:jc w:val="both"/>
      </w:pPr>
    </w:p>
    <w:p w14:paraId="28D00E60" w14:textId="77777777" w:rsidR="00A45BCF" w:rsidRDefault="00A45BCF" w:rsidP="00CE24EF">
      <w:pPr>
        <w:jc w:val="both"/>
      </w:pPr>
    </w:p>
    <w:p w14:paraId="1552D76A" w14:textId="77777777" w:rsidR="00A45BCF" w:rsidRDefault="00A45BCF" w:rsidP="00CE24EF">
      <w:pPr>
        <w:jc w:val="both"/>
      </w:pPr>
    </w:p>
    <w:p w14:paraId="0649D940" w14:textId="77777777" w:rsidR="00A45BCF" w:rsidRDefault="00A45BCF" w:rsidP="00CE24EF">
      <w:pPr>
        <w:jc w:val="both"/>
      </w:pPr>
    </w:p>
    <w:p w14:paraId="201A1577" w14:textId="77777777" w:rsidR="00A45BCF" w:rsidRDefault="00A45BCF" w:rsidP="00CE24EF">
      <w:pPr>
        <w:jc w:val="both"/>
      </w:pPr>
    </w:p>
    <w:p w14:paraId="20D7BA7E" w14:textId="77777777" w:rsidR="00A45BCF" w:rsidRDefault="00A45BCF" w:rsidP="00CE24EF">
      <w:pPr>
        <w:jc w:val="both"/>
      </w:pPr>
    </w:p>
    <w:p w14:paraId="7DE41FEE" w14:textId="77777777" w:rsidR="00A45BCF" w:rsidRDefault="00A45BCF" w:rsidP="00CE24EF">
      <w:pPr>
        <w:jc w:val="both"/>
      </w:pPr>
    </w:p>
    <w:p w14:paraId="17EFF171" w14:textId="77777777" w:rsidR="00A45BCF" w:rsidRDefault="00A45BCF" w:rsidP="00CE24EF">
      <w:pPr>
        <w:jc w:val="both"/>
      </w:pPr>
    </w:p>
    <w:p w14:paraId="19C0C58A" w14:textId="77777777" w:rsidR="00A45BCF" w:rsidRDefault="00A45BCF" w:rsidP="00CE24EF">
      <w:pPr>
        <w:jc w:val="both"/>
      </w:pPr>
    </w:p>
    <w:p w14:paraId="6E7367FB" w14:textId="77777777" w:rsidR="00A45BCF" w:rsidRDefault="00A45BCF" w:rsidP="00CE24EF">
      <w:pPr>
        <w:jc w:val="both"/>
      </w:pPr>
    </w:p>
    <w:p w14:paraId="4279A679" w14:textId="77777777" w:rsidR="00A45BCF" w:rsidRDefault="00A45BCF" w:rsidP="00CE24EF">
      <w:pPr>
        <w:jc w:val="both"/>
      </w:pPr>
    </w:p>
    <w:p w14:paraId="6FCF66DA" w14:textId="77777777" w:rsidR="00A45BCF" w:rsidRPr="00A45BCF" w:rsidRDefault="00A45BCF" w:rsidP="00A45BCF">
      <w:pPr>
        <w:jc w:val="both"/>
      </w:pPr>
      <w:r w:rsidRPr="00A45BCF">
        <w:rPr>
          <w:b/>
        </w:rPr>
        <w:lastRenderedPageBreak/>
        <w:t>El Acoso Laboral en el Entorno Sanitario: Un Desafío Invisible</w:t>
      </w:r>
    </w:p>
    <w:p w14:paraId="02A9B774" w14:textId="77777777" w:rsidR="00A45BCF" w:rsidRPr="00A45BCF" w:rsidRDefault="00A45BCF" w:rsidP="00A45BCF">
      <w:pPr>
        <w:jc w:val="both"/>
      </w:pPr>
      <w:r w:rsidRPr="00A45BCF">
        <w:t xml:space="preserve">El entorno sanitario es, por su propia naturaleza, un espacio de alta presión. Sin embargo, cuando el estrés habitual se transforma en hostigamiento psicológico continuo, nos enfrentamos al acoso laboral o </w:t>
      </w:r>
      <w:proofErr w:type="spellStart"/>
      <w:proofErr w:type="gramStart"/>
      <w:r w:rsidRPr="00A45BCF">
        <w:t>mobbing</w:t>
      </w:r>
      <w:proofErr w:type="spellEnd"/>
      <w:proofErr w:type="gramEnd"/>
      <w:r w:rsidRPr="00A45BCF">
        <w:t>. Este fenómeno no solo afecta a los médicos y enfermeros que están en la primera línea de atención, sino también al personal no sanitario (administrativos, celadores, personal de limpieza y técnicos), quienes a menudo enfrentan una vulnerabilidad silenciosa.</w:t>
      </w:r>
    </w:p>
    <w:p w14:paraId="43EF932A" w14:textId="77777777" w:rsidR="00A45BCF" w:rsidRPr="00A45BCF" w:rsidRDefault="00A45BCF" w:rsidP="00A45BCF">
      <w:pPr>
        <w:jc w:val="both"/>
        <w:rPr>
          <w:b/>
        </w:rPr>
      </w:pPr>
      <w:r w:rsidRPr="00A45BCF">
        <w:rPr>
          <w:b/>
        </w:rPr>
        <w:t>La Realidad del Personal Sanitario: Presión y Jerarquías</w:t>
      </w:r>
    </w:p>
    <w:p w14:paraId="58ED8AAD" w14:textId="77777777" w:rsidR="00A45BCF" w:rsidRPr="00A45BCF" w:rsidRDefault="00A45BCF" w:rsidP="00A45BCF">
      <w:pPr>
        <w:jc w:val="both"/>
      </w:pPr>
      <w:r w:rsidRPr="00A45BCF">
        <w:t xml:space="preserve">En el personal médico y de enfermería, el acoso laboral suele manifestarse a través de dinámicas jerárquicas muy rígidas. El </w:t>
      </w:r>
      <w:proofErr w:type="spellStart"/>
      <w:proofErr w:type="gramStart"/>
      <w:r w:rsidRPr="00A45BCF">
        <w:t>mobbing</w:t>
      </w:r>
      <w:proofErr w:type="spellEnd"/>
      <w:proofErr w:type="gramEnd"/>
      <w:r w:rsidRPr="00A45BCF">
        <w:t xml:space="preserve"> en este sector adopta frecuentemente la forma de descalificación profesional pública, asignación de tareas humillantes o sobrecarga extrema de trabajo con la intención de provocar el fallo del profesional.</w:t>
      </w:r>
    </w:p>
    <w:p w14:paraId="2BEDE637" w14:textId="77777777" w:rsidR="00A45BCF" w:rsidRPr="00A45BCF" w:rsidRDefault="00A45BCF" w:rsidP="00A45BCF">
      <w:pPr>
        <w:jc w:val="both"/>
      </w:pPr>
      <w:r w:rsidRPr="00A45BCF">
        <w:t>Las consecuencias son devastadoras. Los sanitarios expuestos al acoso experimentan un deterioro drástico de su salud mental, caracterizado por el síndrome de burnout, ansiedad generalizada y depresión. Lo más grave es que este malestar trasciende al paciente: un profesional acosado tiene una menor capacidad de concentración, lo que incrementa el riesgo de cometer errores médicos y reduce la calidad asistencial.</w:t>
      </w:r>
    </w:p>
    <w:p w14:paraId="60A59DE0" w14:textId="77777777" w:rsidR="00A45BCF" w:rsidRPr="00A45BCF" w:rsidRDefault="00A45BCF" w:rsidP="00A45BCF">
      <w:pPr>
        <w:jc w:val="both"/>
        <w:rPr>
          <w:b/>
        </w:rPr>
      </w:pPr>
      <w:r w:rsidRPr="00A45BCF">
        <w:rPr>
          <w:b/>
        </w:rPr>
        <w:t>El Personal No Sanitario: Los Olvidados del Sistema</w:t>
      </w:r>
    </w:p>
    <w:p w14:paraId="4CA688AB" w14:textId="77777777" w:rsidR="00A45BCF" w:rsidRPr="00A45BCF" w:rsidRDefault="00A45BCF" w:rsidP="00A45BCF">
      <w:pPr>
        <w:jc w:val="both"/>
      </w:pPr>
      <w:r w:rsidRPr="00A45BCF">
        <w:t>A menudo se invisibiliza el impacto del acoso en el personal no sanitario. Administrativos, celadores y personal de mantenimiento sostienen la infraestructura hospitalaria, pero con frecuencia ocupan posiciones de menor poder institucional, lo que los convierte en blancos fáciles de conductas hostiles, tanto por parte de superiores como de compañeros (</w:t>
      </w:r>
      <w:proofErr w:type="spellStart"/>
      <w:proofErr w:type="gramStart"/>
      <w:r w:rsidRPr="00A45BCF">
        <w:t>mobbing</w:t>
      </w:r>
      <w:proofErr w:type="spellEnd"/>
      <w:proofErr w:type="gramEnd"/>
      <w:r w:rsidRPr="00A45BCF">
        <w:t xml:space="preserve"> horizontal).</w:t>
      </w:r>
    </w:p>
    <w:p w14:paraId="2BD5F059" w14:textId="77777777" w:rsidR="00A45BCF" w:rsidRPr="00A45BCF" w:rsidRDefault="00A45BCF" w:rsidP="00A45BCF">
      <w:pPr>
        <w:jc w:val="both"/>
      </w:pPr>
      <w:r w:rsidRPr="00A45BCF">
        <w:t xml:space="preserve">En este colectivo, el acoso suele presentarse como aislamiento social, ocultación de información </w:t>
      </w:r>
      <w:proofErr w:type="gramStart"/>
      <w:r w:rsidRPr="00A45BCF">
        <w:t>socio-laboral</w:t>
      </w:r>
      <w:proofErr w:type="gramEnd"/>
      <w:r w:rsidRPr="00A45BCF">
        <w:t xml:space="preserve"> imprescindible para realizar su trabajo, o la difusión de rumores malintencionados. Al no estar directamente implicados en el acto clínico, sus quejas a veces son minimizadas por las direcciones de los centros, lo que cronifica la situación y genera un profundo sentimiento de indefensión y desmotivación.</w:t>
      </w:r>
    </w:p>
    <w:p w14:paraId="49725335" w14:textId="77777777" w:rsidR="00A45BCF" w:rsidRPr="00A45BCF" w:rsidRDefault="00A45BCF" w:rsidP="00A45BCF">
      <w:pPr>
        <w:jc w:val="both"/>
        <w:rPr>
          <w:b/>
        </w:rPr>
      </w:pPr>
      <w:r w:rsidRPr="00A45BCF">
        <w:rPr>
          <w:b/>
        </w:rPr>
        <w:t>Dinámicas y Consecuencias Comunes</w:t>
      </w:r>
    </w:p>
    <w:p w14:paraId="41EF0008" w14:textId="77777777" w:rsidR="00A45BCF" w:rsidRPr="00A45BCF" w:rsidRDefault="00A45BCF" w:rsidP="00A45BCF">
      <w:pPr>
        <w:jc w:val="both"/>
      </w:pPr>
      <w:r w:rsidRPr="00A45BCF">
        <w:t>Independientemente del rol, el acoso laboral destruye el tejido organizativo de las instituciones de salud. Las dinámicas más comunes incluyen:</w:t>
      </w:r>
    </w:p>
    <w:p w14:paraId="08E0FC57" w14:textId="77777777" w:rsidR="00A45BCF" w:rsidRPr="00A45BCF" w:rsidRDefault="00A45BCF" w:rsidP="00A45BCF">
      <w:pPr>
        <w:jc w:val="both"/>
      </w:pPr>
      <w:r w:rsidRPr="00A45BCF">
        <w:rPr>
          <w:u w:val="single"/>
        </w:rPr>
        <w:t>Bloqueo de la comunicación</w:t>
      </w:r>
      <w:r w:rsidRPr="00A45BCF">
        <w:t>: Ignorar las opiniones del trabajador o interrumpirlo constantemente.</w:t>
      </w:r>
    </w:p>
    <w:p w14:paraId="3A3D4962" w14:textId="77777777" w:rsidR="00A45BCF" w:rsidRPr="00A45BCF" w:rsidRDefault="00A45BCF" w:rsidP="00A45BCF">
      <w:pPr>
        <w:jc w:val="both"/>
      </w:pPr>
      <w:r w:rsidRPr="00A45BCF">
        <w:rPr>
          <w:u w:val="single"/>
        </w:rPr>
        <w:lastRenderedPageBreak/>
        <w:t>Destrucción de la reputación:</w:t>
      </w:r>
      <w:r w:rsidRPr="00A45BCF">
        <w:t xml:space="preserve"> Murmuraciones y burlas sobre la vida privada o profesional.</w:t>
      </w:r>
    </w:p>
    <w:p w14:paraId="5C34FBC8" w14:textId="77777777" w:rsidR="00A45BCF" w:rsidRPr="00A45BCF" w:rsidRDefault="00A45BCF" w:rsidP="00A45BCF">
      <w:pPr>
        <w:jc w:val="both"/>
      </w:pPr>
      <w:r w:rsidRPr="00A45BCF">
        <w:rPr>
          <w:u w:val="single"/>
        </w:rPr>
        <w:t>Indefensión operativa</w:t>
      </w:r>
      <w:r w:rsidRPr="00A45BCF">
        <w:t>: Cambiar abruptamente las funciones del puesto sin justificación técnica.</w:t>
      </w:r>
    </w:p>
    <w:p w14:paraId="77AC16EC" w14:textId="77777777" w:rsidR="00A45BCF" w:rsidRPr="00A45BCF" w:rsidRDefault="00A45BCF" w:rsidP="00A45BCF">
      <w:pPr>
        <w:jc w:val="both"/>
      </w:pPr>
      <w:r w:rsidRPr="00A45BCF">
        <w:t>El resultado final es el absentismo laboral, la rotación constante de personal y una pérdida irreparable de talento humano. Los hospitales y centros de salud se transforman así en entornos hostiles donde prima el miedo sobre la colaboración.</w:t>
      </w:r>
    </w:p>
    <w:p w14:paraId="1FF851D3" w14:textId="77777777" w:rsidR="00A45BCF" w:rsidRPr="00A45BCF" w:rsidRDefault="00A45BCF" w:rsidP="00A45BCF">
      <w:pPr>
        <w:jc w:val="both"/>
        <w:rPr>
          <w:b/>
        </w:rPr>
      </w:pPr>
      <w:r w:rsidRPr="00A45BCF">
        <w:rPr>
          <w:b/>
        </w:rPr>
        <w:t>Estrategias de Prevención y Afrontamiento</w:t>
      </w:r>
    </w:p>
    <w:p w14:paraId="1467C952" w14:textId="77777777" w:rsidR="00A45BCF" w:rsidRPr="00A45BCF" w:rsidRDefault="00A45BCF" w:rsidP="00A45BCF">
      <w:pPr>
        <w:jc w:val="both"/>
      </w:pPr>
      <w:r w:rsidRPr="00A45BCF">
        <w:t>Para erradicar este problema es imprescindible pasar de la cultura del silencio a la de la tolerancia cero. Las instituciones sanitarias deben implementar:</w:t>
      </w:r>
    </w:p>
    <w:p w14:paraId="6CA31512" w14:textId="77777777" w:rsidR="00A45BCF" w:rsidRPr="00A45BCF" w:rsidRDefault="00A45BCF" w:rsidP="00A45BCF">
      <w:pPr>
        <w:jc w:val="both"/>
      </w:pPr>
      <w:r w:rsidRPr="00A45BCF">
        <w:rPr>
          <w:i/>
          <w:u w:val="single"/>
        </w:rPr>
        <w:t>Protocolos de actuación claros y anónimos:</w:t>
      </w:r>
      <w:r w:rsidRPr="00A45BCF">
        <w:t xml:space="preserve"> Canales seguros donde denunciar sin temor a represalias.</w:t>
      </w:r>
    </w:p>
    <w:p w14:paraId="476C3BEA" w14:textId="77777777" w:rsidR="00A45BCF" w:rsidRPr="00A45BCF" w:rsidRDefault="00A45BCF" w:rsidP="00A45BCF">
      <w:pPr>
        <w:jc w:val="both"/>
      </w:pPr>
      <w:r w:rsidRPr="00A45BCF">
        <w:rPr>
          <w:i/>
          <w:u w:val="single"/>
        </w:rPr>
        <w:t>Formación en liderazgo positivo</w:t>
      </w:r>
      <w:r w:rsidRPr="00A45BCF">
        <w:t>: Capacitar a los jefes de servicio y supervisores en la gestión humana de equipos.</w:t>
      </w:r>
    </w:p>
    <w:p w14:paraId="1E435AE6" w14:textId="77777777" w:rsidR="00A45BCF" w:rsidRPr="00A45BCF" w:rsidRDefault="00A45BCF" w:rsidP="00A45BCF">
      <w:pPr>
        <w:jc w:val="both"/>
      </w:pPr>
      <w:r w:rsidRPr="00A45BCF">
        <w:rPr>
          <w:i/>
          <w:u w:val="single"/>
        </w:rPr>
        <w:t>Apoyo psicológico institucional:</w:t>
      </w:r>
      <w:r w:rsidRPr="00A45BCF">
        <w:t xml:space="preserve"> Ofrecer herramientas de soporte a las víctimas desde el primer momento.</w:t>
      </w:r>
    </w:p>
    <w:p w14:paraId="1902E9B2" w14:textId="77777777" w:rsidR="00A45BCF" w:rsidRPr="00A45BCF" w:rsidRDefault="00A45BCF" w:rsidP="00A45BCF">
      <w:pPr>
        <w:jc w:val="both"/>
        <w:rPr>
          <w:b/>
        </w:rPr>
      </w:pPr>
      <w:r w:rsidRPr="00A45BCF">
        <w:rPr>
          <w:b/>
        </w:rPr>
        <w:t>Bibliografía</w:t>
      </w:r>
    </w:p>
    <w:p w14:paraId="1FCC17B9" w14:textId="77777777" w:rsidR="00A45BCF" w:rsidRPr="00A45BCF" w:rsidRDefault="00A45BCF" w:rsidP="00A45BCF">
      <w:pPr>
        <w:jc w:val="both"/>
      </w:pPr>
      <w:r w:rsidRPr="00A45BCF">
        <w:t>Ansoleaga, E. (2012). Factores de riesgo psicosocial laboral en el sector sanitario. Revista Médica de Chile, 140(3), 367-372.</w:t>
      </w:r>
    </w:p>
    <w:p w14:paraId="73B6E7AD" w14:textId="77777777" w:rsidR="00A45BCF" w:rsidRPr="00A45BCF" w:rsidRDefault="00A45BCF" w:rsidP="00A45BCF">
      <w:pPr>
        <w:jc w:val="both"/>
      </w:pPr>
      <w:r w:rsidRPr="00A45BCF">
        <w:t>Fornés, J., Martínez-Abascal, M. A., &amp; Seguí, M. O. (2011). Acoso psicológico en el trabajo (</w:t>
      </w:r>
      <w:proofErr w:type="spellStart"/>
      <w:proofErr w:type="gramStart"/>
      <w:r w:rsidRPr="00A45BCF">
        <w:t>mobbing</w:t>
      </w:r>
      <w:proofErr w:type="spellEnd"/>
      <w:proofErr w:type="gramEnd"/>
      <w:r w:rsidRPr="00A45BCF">
        <w:t>) en el personal sanitario. Enfermería Clínica, 21(4), 211-218.</w:t>
      </w:r>
    </w:p>
    <w:p w14:paraId="4AE2BF06" w14:textId="77777777" w:rsidR="00A45BCF" w:rsidRPr="00A45BCF" w:rsidRDefault="00A45BCF" w:rsidP="00A45BCF">
      <w:pPr>
        <w:numPr>
          <w:ilvl w:val="0"/>
          <w:numId w:val="18"/>
        </w:numPr>
        <w:jc w:val="both"/>
      </w:pPr>
      <w:r w:rsidRPr="00A45BCF">
        <w:rPr>
          <w:lang w:val="en-GB"/>
        </w:rPr>
        <w:t xml:space="preserve">Leymann, H. (1996). The Content and Development of Mobbing at Work. </w:t>
      </w:r>
      <w:proofErr w:type="spellStart"/>
      <w:r w:rsidRPr="00A45BCF">
        <w:t>European</w:t>
      </w:r>
      <w:proofErr w:type="spellEnd"/>
      <w:r w:rsidRPr="00A45BCF">
        <w:t xml:space="preserve"> </w:t>
      </w:r>
      <w:proofErr w:type="spellStart"/>
      <w:r w:rsidRPr="00A45BCF">
        <w:t>Journal</w:t>
      </w:r>
      <w:proofErr w:type="spellEnd"/>
      <w:r w:rsidRPr="00A45BCF">
        <w:t xml:space="preserve"> </w:t>
      </w:r>
      <w:proofErr w:type="spellStart"/>
      <w:r w:rsidRPr="00A45BCF">
        <w:t>of</w:t>
      </w:r>
      <w:proofErr w:type="spellEnd"/>
      <w:r w:rsidRPr="00A45BCF">
        <w:t xml:space="preserve"> Work and </w:t>
      </w:r>
      <w:proofErr w:type="spellStart"/>
      <w:r w:rsidRPr="00A45BCF">
        <w:t>Organizational</w:t>
      </w:r>
      <w:proofErr w:type="spellEnd"/>
      <w:r w:rsidRPr="00A45BCF">
        <w:t xml:space="preserve"> </w:t>
      </w:r>
      <w:proofErr w:type="spellStart"/>
      <w:r w:rsidRPr="00A45BCF">
        <w:t>Psychology</w:t>
      </w:r>
      <w:proofErr w:type="spellEnd"/>
      <w:r w:rsidRPr="00A45BCF">
        <w:t>, 5(2), 165-184.</w:t>
      </w:r>
    </w:p>
    <w:p w14:paraId="77C727A9" w14:textId="77777777" w:rsidR="00A45BCF" w:rsidRPr="00A45BCF" w:rsidRDefault="00A45BCF" w:rsidP="00A45BCF">
      <w:pPr>
        <w:numPr>
          <w:ilvl w:val="0"/>
          <w:numId w:val="18"/>
        </w:numPr>
        <w:jc w:val="both"/>
      </w:pPr>
      <w:r w:rsidRPr="00A45BCF">
        <w:t>Organización Mundial de la Salud. (2020). Directrices sobre la salud mental en el trabajo: Resumen ejecutivo. Ginebra: OMS.</w:t>
      </w:r>
    </w:p>
    <w:p w14:paraId="2E498079" w14:textId="77777777" w:rsidR="00A45BCF" w:rsidRPr="00A45BCF" w:rsidRDefault="00A45BCF" w:rsidP="00A45BCF">
      <w:pPr>
        <w:numPr>
          <w:ilvl w:val="0"/>
          <w:numId w:val="18"/>
        </w:numPr>
        <w:jc w:val="both"/>
      </w:pPr>
      <w:r w:rsidRPr="00A45BCF">
        <w:t>Topa, G., Depolo, M., &amp; Morales, J. F. (2007). Acoso laboral: Metaanálisis y modelo integrador de sus antecedentes y consecuencias. Revista de Psicología del Trabajo y de las Organizaciones, 23(2), 227-252.</w:t>
      </w:r>
    </w:p>
    <w:p w14:paraId="6A3003BC" w14:textId="77777777" w:rsidR="00A45BCF" w:rsidRDefault="00A45BCF" w:rsidP="00CE24EF">
      <w:pPr>
        <w:jc w:val="both"/>
      </w:pPr>
    </w:p>
    <w:p w14:paraId="4B8E2214" w14:textId="77777777" w:rsidR="00A45BCF" w:rsidRDefault="00A45BCF" w:rsidP="00CE24EF">
      <w:pPr>
        <w:jc w:val="both"/>
      </w:pPr>
    </w:p>
    <w:p w14:paraId="6B08D57A" w14:textId="77777777" w:rsidR="00A45BCF" w:rsidRDefault="00A45BCF" w:rsidP="00CE24EF">
      <w:pPr>
        <w:jc w:val="both"/>
      </w:pPr>
    </w:p>
    <w:p w14:paraId="238AE612" w14:textId="77777777" w:rsidR="00A45BCF" w:rsidRDefault="00A45BCF" w:rsidP="00CE24EF">
      <w:pPr>
        <w:jc w:val="both"/>
      </w:pPr>
    </w:p>
    <w:p w14:paraId="632A8C37" w14:textId="1186CDF6" w:rsidR="00A45BCF" w:rsidRPr="00A45BCF" w:rsidRDefault="00A45BCF" w:rsidP="00A45BCF">
      <w:pPr>
        <w:jc w:val="both"/>
      </w:pPr>
      <w:r w:rsidRPr="00A45BCF">
        <w:rPr>
          <w:b/>
        </w:rPr>
        <w:lastRenderedPageBreak/>
        <w:t>Guía Integral para la Prevención del Estrés Laboral: Estrategias para Personal Sanitario y No Sanitario</w:t>
      </w:r>
    </w:p>
    <w:p w14:paraId="725210BD" w14:textId="77777777" w:rsidR="00A45BCF" w:rsidRPr="00A45BCF" w:rsidRDefault="00A45BCF" w:rsidP="00A45BCF">
      <w:pPr>
        <w:jc w:val="both"/>
      </w:pPr>
      <w:r w:rsidRPr="00A45BCF">
        <w:t xml:space="preserve">El entorno laboral actual exige un alto rendimiento que, en muchas ocasiones, puede sobrepasar nuestra capacidad de adaptación. El estrés laboral no es solo una sensación de agobio pasajera; es una respuesta física y emocional que, de </w:t>
      </w:r>
      <w:proofErr w:type="spellStart"/>
      <w:r w:rsidRPr="00A45BCF">
        <w:t>cronificarse</w:t>
      </w:r>
      <w:proofErr w:type="spellEnd"/>
      <w:r w:rsidRPr="00A45BCF">
        <w:t>, deriva en el síndrome de burnout o desgaste profesional.</w:t>
      </w:r>
    </w:p>
    <w:p w14:paraId="51591F0A" w14:textId="77777777" w:rsidR="00A45BCF" w:rsidRPr="00A45BCF" w:rsidRDefault="00A45BCF" w:rsidP="00A45BCF">
      <w:pPr>
        <w:jc w:val="both"/>
      </w:pPr>
      <w:r w:rsidRPr="00A45BCF">
        <w:t>Tanto el personal sanitario (médicos, enfermeros, técnicos) como el no sanitario (administrativos, personal de limpieza, mantenimiento, seguridad) están expuestos a factores de riesgo, aunque sus dinámicas sean distintas. Prevenir el estrés es una responsabilidad compartida entre las organizaciones y el propio trabajador.</w:t>
      </w:r>
    </w:p>
    <w:p w14:paraId="6308B08D" w14:textId="77777777" w:rsidR="00A45BCF" w:rsidRPr="00A45BCF" w:rsidRDefault="00A45BCF" w:rsidP="00A45BCF">
      <w:pPr>
        <w:jc w:val="both"/>
        <w:rPr>
          <w:b/>
        </w:rPr>
      </w:pPr>
      <w:r w:rsidRPr="00A45BCF">
        <w:rPr>
          <w:b/>
        </w:rPr>
        <w:t>1. Identificar los Disparadores del Estrés</w:t>
      </w:r>
    </w:p>
    <w:p w14:paraId="5F69FCF8" w14:textId="77777777" w:rsidR="00A45BCF" w:rsidRPr="00A45BCF" w:rsidRDefault="00A45BCF" w:rsidP="00A45BCF">
      <w:pPr>
        <w:jc w:val="both"/>
      </w:pPr>
      <w:r w:rsidRPr="00A45BCF">
        <w:t>El primer paso para combatir el estrés es saber de dónde viene. Los factores varían según el rol:</w:t>
      </w:r>
    </w:p>
    <w:p w14:paraId="001A9794" w14:textId="77777777" w:rsidR="00A45BCF" w:rsidRPr="00A45BCF" w:rsidRDefault="00A45BCF" w:rsidP="00A45BCF">
      <w:pPr>
        <w:numPr>
          <w:ilvl w:val="0"/>
          <w:numId w:val="19"/>
        </w:numPr>
        <w:jc w:val="both"/>
      </w:pPr>
      <w:r w:rsidRPr="00A45BCF">
        <w:rPr>
          <w:i/>
          <w:u w:val="single"/>
        </w:rPr>
        <w:t xml:space="preserve">Personal </w:t>
      </w:r>
      <w:proofErr w:type="gramStart"/>
      <w:r w:rsidRPr="00A45BCF">
        <w:rPr>
          <w:i/>
          <w:u w:val="single"/>
        </w:rPr>
        <w:t xml:space="preserve">Sanitario </w:t>
      </w:r>
      <w:r w:rsidRPr="00A45BCF">
        <w:t>:</w:t>
      </w:r>
      <w:proofErr w:type="gramEnd"/>
      <w:r w:rsidRPr="00A45BCF">
        <w:t xml:space="preserve"> Alta carga emocional, contacto continuo con el sufrimiento o la enfermedad, turnos rotativos, guardias nocturnas y toma de decisiones críticas bajo presión.</w:t>
      </w:r>
    </w:p>
    <w:p w14:paraId="1735C84F" w14:textId="77777777" w:rsidR="00A45BCF" w:rsidRPr="00A45BCF" w:rsidRDefault="00A45BCF" w:rsidP="00A45BCF">
      <w:pPr>
        <w:numPr>
          <w:ilvl w:val="0"/>
          <w:numId w:val="19"/>
        </w:numPr>
        <w:jc w:val="both"/>
      </w:pPr>
      <w:r w:rsidRPr="00A45BCF">
        <w:rPr>
          <w:i/>
          <w:u w:val="single"/>
        </w:rPr>
        <w:t xml:space="preserve">Personal No </w:t>
      </w:r>
      <w:proofErr w:type="gramStart"/>
      <w:r w:rsidRPr="00A45BCF">
        <w:rPr>
          <w:i/>
          <w:u w:val="single"/>
        </w:rPr>
        <w:t xml:space="preserve">Sanitario </w:t>
      </w:r>
      <w:r w:rsidRPr="00A45BCF">
        <w:rPr>
          <w:u w:val="single"/>
        </w:rPr>
        <w:t>:</w:t>
      </w:r>
      <w:proofErr w:type="gramEnd"/>
      <w:r w:rsidRPr="00A45BCF">
        <w:rPr>
          <w:i/>
          <w:u w:val="single"/>
        </w:rPr>
        <w:t xml:space="preserve"> </w:t>
      </w:r>
      <w:r w:rsidRPr="00A45BCF">
        <w:t xml:space="preserve"> Sobrecarga de tareas administrativas, atención a quejas de usuarios, plazos estrictos, falta de autonomía o roles ambiguos dentro de la organización.</w:t>
      </w:r>
    </w:p>
    <w:p w14:paraId="05523361" w14:textId="77777777" w:rsidR="00A45BCF" w:rsidRPr="00A45BCF" w:rsidRDefault="00A45BCF" w:rsidP="00A45BCF">
      <w:pPr>
        <w:numPr>
          <w:ilvl w:val="0"/>
          <w:numId w:val="19"/>
        </w:numPr>
        <w:jc w:val="both"/>
      </w:pPr>
      <w:r w:rsidRPr="00A45BCF">
        <w:rPr>
          <w:i/>
          <w:u w:val="single"/>
        </w:rPr>
        <w:t xml:space="preserve">Factores </w:t>
      </w:r>
      <w:proofErr w:type="gramStart"/>
      <w:r w:rsidRPr="00A45BCF">
        <w:rPr>
          <w:i/>
          <w:u w:val="single"/>
        </w:rPr>
        <w:t xml:space="preserve">Comunes </w:t>
      </w:r>
      <w:r w:rsidRPr="00A45BCF">
        <w:rPr>
          <w:u w:val="single"/>
        </w:rPr>
        <w:t>:</w:t>
      </w:r>
      <w:proofErr w:type="gramEnd"/>
      <w:r w:rsidRPr="00A45BCF">
        <w:rPr>
          <w:i/>
          <w:u w:val="single"/>
        </w:rPr>
        <w:t xml:space="preserve"> </w:t>
      </w:r>
      <w:r w:rsidRPr="00A45BCF">
        <w:t xml:space="preserve"> La falta de comunicación interna, los climas laborales tensos y la escasez de recursos son variables que afectan a todo el personal por igual, mermando la motivación general.</w:t>
      </w:r>
    </w:p>
    <w:p w14:paraId="3D89C651" w14:textId="77777777" w:rsidR="00A45BCF" w:rsidRPr="00A45BCF" w:rsidRDefault="00A45BCF" w:rsidP="00A45BCF">
      <w:pPr>
        <w:jc w:val="both"/>
        <w:rPr>
          <w:b/>
        </w:rPr>
      </w:pPr>
      <w:r w:rsidRPr="00A45BCF">
        <w:rPr>
          <w:b/>
        </w:rPr>
        <w:t>2. Estrategias Organizacionales e Individuales</w:t>
      </w:r>
    </w:p>
    <w:p w14:paraId="6989F8A8" w14:textId="77777777" w:rsidR="00A45BCF" w:rsidRPr="00A45BCF" w:rsidRDefault="00A45BCF" w:rsidP="00A45BCF">
      <w:pPr>
        <w:jc w:val="both"/>
      </w:pPr>
      <w:r w:rsidRPr="00A45BCF">
        <w:t>La prevención del estrés requiere un enfoque bidireccional: cambios en la rutina personal y mejoras en la cultura de la institución.</w:t>
      </w:r>
    </w:p>
    <w:p w14:paraId="6D153246" w14:textId="77777777" w:rsidR="00A45BCF" w:rsidRPr="00A45BCF" w:rsidRDefault="00A45BCF" w:rsidP="00A45BCF">
      <w:pPr>
        <w:jc w:val="both"/>
      </w:pPr>
      <w:r w:rsidRPr="00A45BCF">
        <w:rPr>
          <w:b/>
        </w:rPr>
        <w:t>Para el Personal Sanitario: Proteger la Empatía y el Descanso</w:t>
      </w:r>
    </w:p>
    <w:p w14:paraId="6136A130" w14:textId="77777777" w:rsidR="00A45BCF" w:rsidRPr="00A45BCF" w:rsidRDefault="00A45BCF" w:rsidP="00A45BCF">
      <w:pPr>
        <w:jc w:val="both"/>
      </w:pPr>
      <w:r w:rsidRPr="00A45BCF">
        <w:t>La fatiga por compasión es un riesgo real. Para evitarla, es fundamental establecer límites emocionales saludables sin perder la humanidad en el trato con los pacientes.</w:t>
      </w:r>
    </w:p>
    <w:p w14:paraId="07D28EB9" w14:textId="77777777" w:rsidR="00A45BCF" w:rsidRPr="00A45BCF" w:rsidRDefault="00A45BCF" w:rsidP="00A45BCF">
      <w:pPr>
        <w:numPr>
          <w:ilvl w:val="0"/>
          <w:numId w:val="20"/>
        </w:numPr>
        <w:jc w:val="both"/>
      </w:pPr>
      <w:r w:rsidRPr="00A45BCF">
        <w:rPr>
          <w:i/>
          <w:u w:val="single"/>
        </w:rPr>
        <w:t xml:space="preserve">Rotación y descansos </w:t>
      </w:r>
      <w:proofErr w:type="spellStart"/>
      <w:r w:rsidRPr="00A45BCF">
        <w:rPr>
          <w:i/>
          <w:u w:val="single"/>
        </w:rPr>
        <w:t>micro-activ</w:t>
      </w:r>
      <w:proofErr w:type="spellEnd"/>
      <w:r w:rsidRPr="00A45BCF">
        <w:rPr>
          <w:i/>
          <w:u w:val="single"/>
        </w:rPr>
        <w:t xml:space="preserve"> </w:t>
      </w:r>
      <w:r w:rsidRPr="00A45BCF">
        <w:t xml:space="preserve">os: Es vital respetar los descansos durante las jornadas largas. Desconectarse visual y mentalmente, aunque sea por 10 minutos, ayuda a </w:t>
      </w:r>
      <w:proofErr w:type="gramStart"/>
      <w:r w:rsidRPr="00A45BCF">
        <w:t>resetear</w:t>
      </w:r>
      <w:proofErr w:type="gramEnd"/>
      <w:r w:rsidRPr="00A45BCF">
        <w:t xml:space="preserve"> el sistema nervioso.</w:t>
      </w:r>
    </w:p>
    <w:p w14:paraId="33BA1258" w14:textId="77777777" w:rsidR="00A45BCF" w:rsidRPr="00A45BCF" w:rsidRDefault="00A45BCF" w:rsidP="00A45BCF">
      <w:pPr>
        <w:numPr>
          <w:ilvl w:val="0"/>
          <w:numId w:val="20"/>
        </w:numPr>
        <w:jc w:val="both"/>
      </w:pPr>
      <w:proofErr w:type="spellStart"/>
      <w:r w:rsidRPr="00A45BCF">
        <w:rPr>
          <w:i/>
          <w:u w:val="single"/>
        </w:rPr>
        <w:t>Debriefing</w:t>
      </w:r>
      <w:proofErr w:type="spellEnd"/>
      <w:r w:rsidRPr="00A45BCF">
        <w:rPr>
          <w:i/>
          <w:u w:val="single"/>
        </w:rPr>
        <w:t xml:space="preserve"> </w:t>
      </w:r>
      <w:proofErr w:type="gramStart"/>
      <w:r w:rsidRPr="00A45BCF">
        <w:rPr>
          <w:i/>
          <w:u w:val="single"/>
        </w:rPr>
        <w:t xml:space="preserve">emocional </w:t>
      </w:r>
      <w:r w:rsidRPr="00A45BCF">
        <w:t>:</w:t>
      </w:r>
      <w:proofErr w:type="gramEnd"/>
      <w:r w:rsidRPr="00A45BCF">
        <w:t xml:space="preserve"> Fomentar reuniones breves al final de turnos complejos para compartir impresiones y descargar la tensión acumulada en equipo de manera estructurada.</w:t>
      </w:r>
    </w:p>
    <w:p w14:paraId="045E8A39" w14:textId="77777777" w:rsidR="00A45BCF" w:rsidRPr="00A45BCF" w:rsidRDefault="00A45BCF" w:rsidP="00A45BCF">
      <w:pPr>
        <w:jc w:val="both"/>
      </w:pPr>
      <w:r w:rsidRPr="00A45BCF">
        <w:rPr>
          <w:b/>
        </w:rPr>
        <w:lastRenderedPageBreak/>
        <w:t>Para el Personal No Sanitario: Gestión del Tiempo y Procesos</w:t>
      </w:r>
    </w:p>
    <w:p w14:paraId="39E94E6D" w14:textId="77777777" w:rsidR="00A45BCF" w:rsidRPr="00A45BCF" w:rsidRDefault="00A45BCF" w:rsidP="00A45BCF">
      <w:pPr>
        <w:numPr>
          <w:ilvl w:val="0"/>
          <w:numId w:val="20"/>
        </w:numPr>
        <w:jc w:val="both"/>
      </w:pPr>
      <w:r w:rsidRPr="00A45BCF">
        <w:rPr>
          <w:i/>
          <w:u w:val="single"/>
        </w:rPr>
        <w:t xml:space="preserve">Delimitación de </w:t>
      </w:r>
      <w:proofErr w:type="gramStart"/>
      <w:r w:rsidRPr="00A45BCF">
        <w:rPr>
          <w:i/>
          <w:u w:val="single"/>
        </w:rPr>
        <w:t xml:space="preserve">funciones </w:t>
      </w:r>
      <w:r w:rsidRPr="00A45BCF">
        <w:t>:</w:t>
      </w:r>
      <w:proofErr w:type="gramEnd"/>
      <w:r w:rsidRPr="00A45BCF">
        <w:t xml:space="preserve"> La ambigüedad de rol genera mucha ansiedad. Es necesario que cada trabajador sepa exactamente qué se espera de él y cuáles son sus límites de responsabilidad.</w:t>
      </w:r>
    </w:p>
    <w:p w14:paraId="46727B65" w14:textId="77777777" w:rsidR="00A45BCF" w:rsidRPr="00A45BCF" w:rsidRDefault="00A45BCF" w:rsidP="00A45BCF">
      <w:pPr>
        <w:numPr>
          <w:ilvl w:val="0"/>
          <w:numId w:val="20"/>
        </w:numPr>
        <w:jc w:val="both"/>
      </w:pPr>
      <w:r w:rsidRPr="00A45BCF">
        <w:rPr>
          <w:i/>
          <w:u w:val="single"/>
        </w:rPr>
        <w:t xml:space="preserve">Optimización de tareas:  </w:t>
      </w:r>
      <w:r w:rsidRPr="00A45BCF">
        <w:t>Priorizar utilizando matrices de urgencia e importancia. Aprender a negociar plazos cuando la carga física o mental supera la jornada laboral establecida.</w:t>
      </w:r>
    </w:p>
    <w:p w14:paraId="30F4BCB1" w14:textId="77777777" w:rsidR="00A45BCF" w:rsidRPr="00A45BCF" w:rsidRDefault="00A45BCF" w:rsidP="00A45BCF">
      <w:pPr>
        <w:jc w:val="both"/>
      </w:pPr>
      <w:r w:rsidRPr="00A45BCF">
        <w:rPr>
          <w:b/>
        </w:rPr>
        <w:t>3. Factores Transversales: Ergonomía y Apoyo Social El estrés no solo se genera en la mente; el cuerpo y el entorno físico juegan un papel crucial:</w:t>
      </w:r>
    </w:p>
    <w:p w14:paraId="37F79477" w14:textId="77777777" w:rsidR="00A45BCF" w:rsidRPr="00A45BCF" w:rsidRDefault="00A45BCF" w:rsidP="00A45BCF">
      <w:pPr>
        <w:numPr>
          <w:ilvl w:val="0"/>
          <w:numId w:val="20"/>
        </w:numPr>
        <w:jc w:val="both"/>
      </w:pPr>
      <w:r w:rsidRPr="00A45BCF">
        <w:rPr>
          <w:i/>
          <w:u w:val="single"/>
        </w:rPr>
        <w:t xml:space="preserve">Ergonomía del puesto: </w:t>
      </w:r>
      <w:r w:rsidRPr="00A45BCF">
        <w:t xml:space="preserve"> Para el personal sanitario, las posturas forzadas al movilizar pacientes generan fatiga muscular que incrementa la irritabilidad. Para el personal no sanitario, pasar horas frente a una pantalla sin la silla o iluminación adecuada provoca cefaleas y tensión cervical. Ajustar el entorno físico reduce la carga biológica del estrés.</w:t>
      </w:r>
    </w:p>
    <w:p w14:paraId="30075B9E" w14:textId="77777777" w:rsidR="00A45BCF" w:rsidRPr="00A45BCF" w:rsidRDefault="00A45BCF" w:rsidP="00A45BCF">
      <w:pPr>
        <w:numPr>
          <w:ilvl w:val="0"/>
          <w:numId w:val="20"/>
        </w:numPr>
        <w:jc w:val="both"/>
      </w:pPr>
      <w:r w:rsidRPr="00A45BCF">
        <w:rPr>
          <w:i/>
          <w:u w:val="single"/>
        </w:rPr>
        <w:t xml:space="preserve">Cultura del </w:t>
      </w:r>
      <w:proofErr w:type="gramStart"/>
      <w:r w:rsidRPr="00A45BCF">
        <w:rPr>
          <w:i/>
          <w:u w:val="single"/>
        </w:rPr>
        <w:t xml:space="preserve">reconocimiento </w:t>
      </w:r>
      <w:r w:rsidRPr="00A45BCF">
        <w:t>:</w:t>
      </w:r>
      <w:proofErr w:type="gramEnd"/>
      <w:r w:rsidRPr="00A45BCF">
        <w:t xml:space="preserve"> El aislamiento aumenta la percepción de amenaza. Fomentar un ambiente donde se agradezca el esfuerzo diario y se validen las dificultades disminuye drásticamente los índices de ansiedad. El compañerismo actúa como un "amortiguador" frente a las jornadas más duras.</w:t>
      </w:r>
    </w:p>
    <w:p w14:paraId="255293B1" w14:textId="77777777" w:rsidR="00A45BCF" w:rsidRPr="00A45BCF" w:rsidRDefault="00A45BCF" w:rsidP="00A45BCF">
      <w:pPr>
        <w:jc w:val="both"/>
        <w:rPr>
          <w:b/>
        </w:rPr>
      </w:pPr>
      <w:r w:rsidRPr="00A45BCF">
        <w:rPr>
          <w:b/>
        </w:rPr>
        <w:t>4. Herramientas Universales de Autocuidado</w:t>
      </w:r>
    </w:p>
    <w:p w14:paraId="6BF8B83A" w14:textId="77777777" w:rsidR="00A45BCF" w:rsidRPr="00A45BCF" w:rsidRDefault="00A45BCF" w:rsidP="00A45BCF">
      <w:pPr>
        <w:jc w:val="both"/>
      </w:pPr>
      <w:r w:rsidRPr="00A45BCF">
        <w:t>Existen pilares básicos que benefician a cualquier profesional, independientemente de su puesto:</w:t>
      </w:r>
    </w:p>
    <w:p w14:paraId="3FC07B7C" w14:textId="77777777" w:rsidR="00A45BCF" w:rsidRPr="00A45BCF" w:rsidRDefault="00A45BCF" w:rsidP="00A45BCF">
      <w:pPr>
        <w:numPr>
          <w:ilvl w:val="0"/>
          <w:numId w:val="21"/>
        </w:numPr>
        <w:jc w:val="both"/>
      </w:pPr>
      <w:r w:rsidRPr="00A45BCF">
        <w:rPr>
          <w:i/>
          <w:u w:val="single"/>
        </w:rPr>
        <w:t xml:space="preserve">Desconexión digital y mental: </w:t>
      </w:r>
      <w:r w:rsidRPr="00A45BCF">
        <w:t xml:space="preserve"> Al terminar la jornada, el trabajo se queda en el centro laboral. Evitar revisar correos o mensajes de texto fuera del horario ayuda al cerebro a entender que es momento de recuperarse.</w:t>
      </w:r>
    </w:p>
    <w:p w14:paraId="564E2BF9" w14:textId="77777777" w:rsidR="00A45BCF" w:rsidRPr="00A45BCF" w:rsidRDefault="00A45BCF" w:rsidP="00A45BCF">
      <w:pPr>
        <w:numPr>
          <w:ilvl w:val="0"/>
          <w:numId w:val="21"/>
        </w:numPr>
        <w:jc w:val="both"/>
      </w:pPr>
      <w:r w:rsidRPr="00A45BCF">
        <w:rPr>
          <w:i/>
          <w:u w:val="single"/>
        </w:rPr>
        <w:t xml:space="preserve">Comunicación asertiva: </w:t>
      </w:r>
      <w:r w:rsidRPr="00A45BCF">
        <w:t xml:space="preserve"> Expresar las necesidades o el descontento de manera clara y respetuosa evita que los malentendidos se transformen en fuentes de frustración.</w:t>
      </w:r>
    </w:p>
    <w:p w14:paraId="0FF9C6D4" w14:textId="77777777" w:rsidR="00A45BCF" w:rsidRPr="00A45BCF" w:rsidRDefault="00A45BCF" w:rsidP="00A45BCF">
      <w:pPr>
        <w:numPr>
          <w:ilvl w:val="0"/>
          <w:numId w:val="21"/>
        </w:numPr>
        <w:jc w:val="both"/>
      </w:pPr>
      <w:r w:rsidRPr="00A45BCF">
        <w:rPr>
          <w:i/>
          <w:u w:val="single"/>
        </w:rPr>
        <w:t xml:space="preserve">Hábitos de vida </w:t>
      </w:r>
      <w:proofErr w:type="gramStart"/>
      <w:r w:rsidRPr="00A45BCF">
        <w:rPr>
          <w:i/>
          <w:u w:val="single"/>
        </w:rPr>
        <w:t xml:space="preserve">saludables </w:t>
      </w:r>
      <w:r w:rsidRPr="00A45BCF">
        <w:t>:</w:t>
      </w:r>
      <w:proofErr w:type="gramEnd"/>
      <w:r w:rsidRPr="00A45BCF">
        <w:t xml:space="preserve"> El ejercicio regular actúa como un liberador natural de endorfinas y reduce el cortisol (la hormona del estrés). Asimismo, mantener una higiene del sueño adecuada es el mejor reparador cognitivo disponible.</w:t>
      </w:r>
    </w:p>
    <w:p w14:paraId="7C4D5E8C" w14:textId="77777777" w:rsidR="00A45BCF" w:rsidRPr="00A45BCF" w:rsidRDefault="00A45BCF" w:rsidP="00A45BCF">
      <w:pPr>
        <w:jc w:val="both"/>
        <w:rPr>
          <w:b/>
        </w:rPr>
      </w:pPr>
      <w:r w:rsidRPr="00A45BCF">
        <w:rPr>
          <w:b/>
        </w:rPr>
        <w:t>Conclusión</w:t>
      </w:r>
    </w:p>
    <w:p w14:paraId="3F310F27" w14:textId="77777777" w:rsidR="00A45BCF" w:rsidRPr="00A45BCF" w:rsidRDefault="00A45BCF" w:rsidP="00A45BCF">
      <w:pPr>
        <w:jc w:val="both"/>
      </w:pPr>
      <w:r w:rsidRPr="00A45BCF">
        <w:t xml:space="preserve">La prevención del estrés laboral no es un lujo, sino una necesidad para garantizar la salud de los trabajadores y la calidad del servicio prestado. Mientras las instituciones deben velar por dimensiones de trabajo justas y recursos adecuados, </w:t>
      </w:r>
      <w:r w:rsidRPr="00A45BCF">
        <w:lastRenderedPageBreak/>
        <w:t>los profesionales deben cultivar el autocuidado y el apoyo mutuo. Cuidar de uno mismo es el primer paso para poder desempeñar correctamente cualquier labor.</w:t>
      </w:r>
    </w:p>
    <w:p w14:paraId="581F3364" w14:textId="77777777" w:rsidR="00A45BCF" w:rsidRPr="00A45BCF" w:rsidRDefault="00A45BCF" w:rsidP="00A45BCF">
      <w:pPr>
        <w:jc w:val="both"/>
        <w:rPr>
          <w:b/>
        </w:rPr>
      </w:pPr>
      <w:r w:rsidRPr="00A45BCF">
        <w:rPr>
          <w:b/>
        </w:rPr>
        <w:t>Bibliografía Recomendada</w:t>
      </w:r>
    </w:p>
    <w:p w14:paraId="40037691" w14:textId="77777777" w:rsidR="00A45BCF" w:rsidRPr="00A45BCF" w:rsidRDefault="00A45BCF" w:rsidP="00A45BCF">
      <w:pPr>
        <w:numPr>
          <w:ilvl w:val="0"/>
          <w:numId w:val="22"/>
        </w:numPr>
        <w:jc w:val="both"/>
      </w:pPr>
      <w:r w:rsidRPr="00A45BCF">
        <w:t>Organización Mundial de la Salud (OMS) &amp; Organización Internacional del Trabajo (OIT). (2022). Directrices de la OMS sobre la salud mental en el trabajo. Ginebra: OMS. Una guía global con recomendaciones basadas en la evidencia para prevenir los riesgos psicosociales.</w:t>
      </w:r>
    </w:p>
    <w:p w14:paraId="5FE88073" w14:textId="77777777" w:rsidR="00A45BCF" w:rsidRPr="00A45BCF" w:rsidRDefault="00A45BCF" w:rsidP="00A45BCF">
      <w:pPr>
        <w:numPr>
          <w:ilvl w:val="0"/>
          <w:numId w:val="22"/>
        </w:numPr>
        <w:jc w:val="both"/>
      </w:pPr>
      <w:r w:rsidRPr="00A45BCF">
        <w:t xml:space="preserve">Instituto Nacional de Seguridad y Salud en el Trabajo (INSST). (2021). Guía de actuaciones de la </w:t>
      </w:r>
    </w:p>
    <w:p w14:paraId="7594AB91" w14:textId="77777777" w:rsidR="00A45BCF" w:rsidRPr="00A45BCF" w:rsidRDefault="00A45BCF" w:rsidP="00A45BCF">
      <w:pPr>
        <w:jc w:val="both"/>
      </w:pPr>
      <w:r w:rsidRPr="00A45BCF">
        <w:t>Inspección de Trabajo y Seguridad Social sobre riesgos psicosociales. Ministerio de Trabajo y Economía Social, Gobierno de España. Documento técnico clave para entender la evaluación de riesgos como la carga mental.</w:t>
      </w:r>
    </w:p>
    <w:p w14:paraId="6386DA2D" w14:textId="77777777" w:rsidR="00A45BCF" w:rsidRPr="00A45BCF" w:rsidRDefault="00A45BCF" w:rsidP="00A45BCF">
      <w:pPr>
        <w:numPr>
          <w:ilvl w:val="0"/>
          <w:numId w:val="22"/>
        </w:numPr>
        <w:jc w:val="both"/>
      </w:pPr>
      <w:r w:rsidRPr="00A45BCF">
        <w:rPr>
          <w:lang w:val="en-GB"/>
        </w:rPr>
        <w:t xml:space="preserve">Maslach, C., &amp; Leiter, M. P. (2016). Understanding the burnout experience: recent research and its implications for job burnout. </w:t>
      </w:r>
      <w:r w:rsidRPr="00A45BCF">
        <w:t xml:space="preserve">World </w:t>
      </w:r>
      <w:proofErr w:type="spellStart"/>
      <w:r w:rsidRPr="00A45BCF">
        <w:t>Psychiatry</w:t>
      </w:r>
      <w:proofErr w:type="spellEnd"/>
      <w:r w:rsidRPr="00A45BCF">
        <w:t>, 15(2), 103-111. El estudio de referencia de las creadoras del término burnout, analizando cómo el desajuste entre el trabajador y su entorno propicia el estrés crónico.</w:t>
      </w:r>
    </w:p>
    <w:p w14:paraId="476CDDF8" w14:textId="77777777" w:rsidR="00A45BCF" w:rsidRPr="00A45BCF" w:rsidRDefault="00A45BCF" w:rsidP="00A45BCF">
      <w:pPr>
        <w:numPr>
          <w:ilvl w:val="0"/>
          <w:numId w:val="22"/>
        </w:numPr>
        <w:jc w:val="both"/>
      </w:pPr>
      <w:r w:rsidRPr="00A45BCF">
        <w:t>Agencia Europea para la Seguridad y la Salud en el Trabajo (EU-OSHA). (2020). La gestión del estrés y de los riesgos psicosociales en el sector de los servicios y la sanidad. Informes temáticos sobre campañas europeas para entornos de trabajo saludables.</w:t>
      </w:r>
    </w:p>
    <w:p w14:paraId="4B6BB829" w14:textId="77777777" w:rsidR="00A45BCF" w:rsidRDefault="00A45BCF" w:rsidP="00CE24EF">
      <w:pPr>
        <w:jc w:val="both"/>
      </w:pPr>
    </w:p>
    <w:p w14:paraId="7286466F" w14:textId="77777777" w:rsidR="00A45BCF" w:rsidRDefault="00A45BCF" w:rsidP="00CE24EF">
      <w:pPr>
        <w:jc w:val="both"/>
      </w:pPr>
    </w:p>
    <w:p w14:paraId="20E3CA0A" w14:textId="77777777" w:rsidR="00A45BCF" w:rsidRDefault="00A45BCF" w:rsidP="00CE24EF">
      <w:pPr>
        <w:jc w:val="both"/>
      </w:pPr>
    </w:p>
    <w:p w14:paraId="4014C15A" w14:textId="77777777" w:rsidR="00A45BCF" w:rsidRDefault="00A45BCF" w:rsidP="00CE24EF">
      <w:pPr>
        <w:jc w:val="both"/>
      </w:pPr>
    </w:p>
    <w:p w14:paraId="7EC07A9E" w14:textId="77777777" w:rsidR="00A45BCF" w:rsidRDefault="00A45BCF" w:rsidP="00CE24EF">
      <w:pPr>
        <w:jc w:val="both"/>
      </w:pPr>
    </w:p>
    <w:p w14:paraId="0F3C7E59" w14:textId="77777777" w:rsidR="00A45BCF" w:rsidRDefault="00A45BCF" w:rsidP="00CE24EF">
      <w:pPr>
        <w:jc w:val="both"/>
      </w:pPr>
    </w:p>
    <w:p w14:paraId="75CC03B8" w14:textId="77777777" w:rsidR="00A45BCF" w:rsidRDefault="00A45BCF" w:rsidP="00CE24EF">
      <w:pPr>
        <w:jc w:val="both"/>
      </w:pPr>
    </w:p>
    <w:p w14:paraId="52FB6E75" w14:textId="77777777" w:rsidR="00A45BCF" w:rsidRDefault="00A45BCF" w:rsidP="00CE24EF">
      <w:pPr>
        <w:jc w:val="both"/>
      </w:pPr>
    </w:p>
    <w:p w14:paraId="547C750A" w14:textId="77777777" w:rsidR="00A45BCF" w:rsidRDefault="00A45BCF" w:rsidP="00CE24EF">
      <w:pPr>
        <w:jc w:val="both"/>
      </w:pPr>
    </w:p>
    <w:p w14:paraId="17055EB4" w14:textId="77777777" w:rsidR="00A45BCF" w:rsidRDefault="00A45BCF" w:rsidP="00CE24EF">
      <w:pPr>
        <w:jc w:val="both"/>
      </w:pPr>
    </w:p>
    <w:p w14:paraId="0B7F5500" w14:textId="77777777" w:rsidR="00A45BCF" w:rsidRDefault="00A45BCF" w:rsidP="00CE24EF">
      <w:pPr>
        <w:jc w:val="both"/>
      </w:pPr>
    </w:p>
    <w:p w14:paraId="450BBDDD" w14:textId="77777777" w:rsidR="00A45BCF" w:rsidRDefault="00A45BCF" w:rsidP="00CE24EF">
      <w:pPr>
        <w:jc w:val="both"/>
      </w:pPr>
    </w:p>
    <w:p w14:paraId="7126459A" w14:textId="77777777" w:rsidR="00A45BCF" w:rsidRPr="00A45BCF" w:rsidRDefault="00A45BCF" w:rsidP="00A45BCF">
      <w:pPr>
        <w:jc w:val="both"/>
        <w:rPr>
          <w:b/>
        </w:rPr>
      </w:pPr>
      <w:r w:rsidRPr="00A45BCF">
        <w:rPr>
          <w:b/>
        </w:rPr>
        <w:lastRenderedPageBreak/>
        <w:t xml:space="preserve">GUIA DE HIGIENE DE </w:t>
      </w:r>
      <w:proofErr w:type="gramStart"/>
      <w:r w:rsidRPr="00A45BCF">
        <w:rPr>
          <w:b/>
        </w:rPr>
        <w:t>MANOS :PERSONAL</w:t>
      </w:r>
      <w:proofErr w:type="gramEnd"/>
      <w:r w:rsidRPr="00A45BCF">
        <w:rPr>
          <w:b/>
        </w:rPr>
        <w:t xml:space="preserve"> </w:t>
      </w:r>
      <w:proofErr w:type="gramStart"/>
      <w:r w:rsidRPr="00A45BCF">
        <w:rPr>
          <w:b/>
        </w:rPr>
        <w:t>SANITARIO,NO</w:t>
      </w:r>
      <w:proofErr w:type="gramEnd"/>
      <w:r w:rsidRPr="00A45BCF">
        <w:rPr>
          <w:b/>
        </w:rPr>
        <w:t xml:space="preserve"> SANITARIO Y AUXILIAR ADMINISTRATIVO </w:t>
      </w:r>
    </w:p>
    <w:p w14:paraId="64491D0E" w14:textId="77777777" w:rsidR="00A45BCF" w:rsidRPr="00A45BCF" w:rsidRDefault="00A45BCF" w:rsidP="00A45BCF">
      <w:pPr>
        <w:jc w:val="both"/>
      </w:pPr>
      <w:r w:rsidRPr="00A45BCF">
        <w:t>La higiene de manos es reconocida por la Organización Mundial de la Salud (OMS) como la medida más sencilla, eficaz y económica para prevenir la transmisión de infecciones relacionadas con la asistencia sanitaria (IRAS) y la propagación de patógenos en cualquier entorno laboral. Aunque el riesgo varía según la exposición, la responsabilidad es compartida por todo el personal de un centro de salud.</w:t>
      </w:r>
    </w:p>
    <w:p w14:paraId="63EC8284" w14:textId="77777777" w:rsidR="00A45BCF" w:rsidRPr="00A45BCF" w:rsidRDefault="00A45BCF" w:rsidP="00A45BCF">
      <w:pPr>
        <w:jc w:val="both"/>
        <w:rPr>
          <w:b/>
        </w:rPr>
      </w:pPr>
      <w:r w:rsidRPr="00A45BCF">
        <w:rPr>
          <w:b/>
        </w:rPr>
        <w:t>1. Importancia de la Higiene de Manos</w:t>
      </w:r>
    </w:p>
    <w:p w14:paraId="0357F965" w14:textId="77777777" w:rsidR="00A45BCF" w:rsidRPr="00A45BCF" w:rsidRDefault="00A45BCF" w:rsidP="00A45BCF">
      <w:pPr>
        <w:jc w:val="both"/>
      </w:pPr>
      <w:r w:rsidRPr="00A45BCF">
        <w:rPr>
          <w:b/>
        </w:rPr>
        <w:t xml:space="preserve">El </w:t>
      </w:r>
      <w:proofErr w:type="spellStart"/>
      <w:r w:rsidRPr="00A45BCF">
        <w:rPr>
          <w:b/>
        </w:rPr>
        <w:t>ojetivo</w:t>
      </w:r>
      <w:proofErr w:type="spellEnd"/>
      <w:r w:rsidRPr="00A45BCF">
        <w:rPr>
          <w:b/>
        </w:rPr>
        <w:t xml:space="preserve"> principal es eliminar la suciedad, la materia orgánica y la flora transitoria (microorganismos que se adquieren por el contacto con superficies o pacientes) para evitar su transmisión.</w:t>
      </w:r>
    </w:p>
    <w:p w14:paraId="61073955" w14:textId="77777777" w:rsidR="00A45BCF" w:rsidRPr="00A45BCF" w:rsidRDefault="00A45BCF" w:rsidP="00A45BCF">
      <w:pPr>
        <w:numPr>
          <w:ilvl w:val="0"/>
          <w:numId w:val="23"/>
        </w:numPr>
        <w:jc w:val="both"/>
      </w:pPr>
      <w:r w:rsidRPr="00A45BCF">
        <w:rPr>
          <w:b/>
        </w:rPr>
        <w:t>Para el Personal Sanitario:</w:t>
      </w:r>
      <w:r w:rsidRPr="00A45BCF">
        <w:t xml:space="preserve"> Evita que el profesional se convierta en un vector de enfermedades entre pacientes.</w:t>
      </w:r>
    </w:p>
    <w:p w14:paraId="6D2F6112" w14:textId="77777777" w:rsidR="00A45BCF" w:rsidRPr="00A45BCF" w:rsidRDefault="00A45BCF" w:rsidP="00A45BCF">
      <w:pPr>
        <w:numPr>
          <w:ilvl w:val="0"/>
          <w:numId w:val="23"/>
        </w:numPr>
        <w:jc w:val="both"/>
      </w:pPr>
      <w:r w:rsidRPr="00A45BCF">
        <w:rPr>
          <w:b/>
        </w:rPr>
        <w:t>Para el Personal Auxiliar Administrativo:</w:t>
      </w:r>
      <w:r w:rsidRPr="00A45BCF">
        <w:t xml:space="preserve"> Protege al trabajador en el manejo de documentación, tarjetas sanitarias y contacto con el público.</w:t>
      </w:r>
    </w:p>
    <w:p w14:paraId="4DABDEA8" w14:textId="77777777" w:rsidR="00A45BCF" w:rsidRPr="00A45BCF" w:rsidRDefault="00A45BCF" w:rsidP="00A45BCF">
      <w:pPr>
        <w:numPr>
          <w:ilvl w:val="0"/>
          <w:numId w:val="23"/>
        </w:numPr>
        <w:jc w:val="both"/>
      </w:pPr>
      <w:r w:rsidRPr="00A45BCF">
        <w:rPr>
          <w:b/>
        </w:rPr>
        <w:t>Para el Personal No Sanitario (Limpieza, Mantenimiento):</w:t>
      </w:r>
      <w:r w:rsidRPr="00A45BCF">
        <w:t xml:space="preserve"> Reduce la contaminación cruzada en áreas comunes y superficies críticas.</w:t>
      </w:r>
    </w:p>
    <w:p w14:paraId="5589BB41" w14:textId="44E0BB0E" w:rsidR="00A45BCF" w:rsidRPr="00A45BCF" w:rsidRDefault="00A45BCF" w:rsidP="00A45BCF">
      <w:pPr>
        <w:jc w:val="both"/>
      </w:pPr>
    </w:p>
    <w:p w14:paraId="1FE19FDB" w14:textId="77777777" w:rsidR="00A45BCF" w:rsidRPr="00A45BCF" w:rsidRDefault="00A45BCF" w:rsidP="00A45BCF">
      <w:pPr>
        <w:jc w:val="both"/>
        <w:rPr>
          <w:b/>
        </w:rPr>
      </w:pPr>
      <w:r w:rsidRPr="00A45BCF">
        <w:rPr>
          <w:b/>
        </w:rPr>
        <w:t>2. Técnicas de Higiene</w:t>
      </w:r>
    </w:p>
    <w:p w14:paraId="2DBE55F9" w14:textId="77777777" w:rsidR="00A45BCF" w:rsidRPr="00A45BCF" w:rsidRDefault="00A45BCF" w:rsidP="00A45BCF">
      <w:pPr>
        <w:jc w:val="both"/>
      </w:pPr>
      <w:r w:rsidRPr="00A45BCF">
        <w:t>Existen dos métodos principales, cuya elección depende del nivel de suciedad y del objetivo:</w:t>
      </w:r>
    </w:p>
    <w:p w14:paraId="79F4FAE2" w14:textId="77777777" w:rsidR="00A45BCF" w:rsidRPr="00A45BCF" w:rsidRDefault="00A45BCF" w:rsidP="00A45BCF">
      <w:pPr>
        <w:jc w:val="both"/>
        <w:rPr>
          <w:b/>
        </w:rPr>
      </w:pPr>
      <w:r w:rsidRPr="00A45BCF">
        <w:rPr>
          <w:b/>
        </w:rPr>
        <w:t>A. Desinfección con Soluciones de Base Alcohólica (Hidrogel)</w:t>
      </w:r>
    </w:p>
    <w:p w14:paraId="4649B09B" w14:textId="77777777" w:rsidR="00A45BCF" w:rsidRPr="00A45BCF" w:rsidRDefault="00A45BCF" w:rsidP="00A45BCF">
      <w:pPr>
        <w:jc w:val="both"/>
      </w:pPr>
      <w:r w:rsidRPr="00A45BCF">
        <w:t>Es el método preferido cuando las manos no están visiblemente sucias. Es más rápido, eficaz y mejor tolerado por la piel.</w:t>
      </w:r>
    </w:p>
    <w:p w14:paraId="1408F192" w14:textId="77777777" w:rsidR="00A45BCF" w:rsidRPr="00A45BCF" w:rsidRDefault="00A45BCF" w:rsidP="00A45BCF">
      <w:pPr>
        <w:numPr>
          <w:ilvl w:val="0"/>
          <w:numId w:val="24"/>
        </w:numPr>
        <w:jc w:val="both"/>
      </w:pPr>
      <w:r w:rsidRPr="00A45BCF">
        <w:rPr>
          <w:b/>
        </w:rPr>
        <w:t>Duración:</w:t>
      </w:r>
      <w:r w:rsidRPr="00A45BCF">
        <w:t xml:space="preserve"> 20–30 segundos.</w:t>
      </w:r>
    </w:p>
    <w:p w14:paraId="3628178D" w14:textId="77777777" w:rsidR="00A45BCF" w:rsidRPr="00A45BCF" w:rsidRDefault="00A45BCF" w:rsidP="00A45BCF">
      <w:pPr>
        <w:numPr>
          <w:ilvl w:val="0"/>
          <w:numId w:val="24"/>
        </w:numPr>
        <w:jc w:val="both"/>
      </w:pPr>
      <w:r w:rsidRPr="00A45BCF">
        <w:rPr>
          <w:b/>
        </w:rPr>
        <w:t>Técnica:</w:t>
      </w:r>
      <w:r w:rsidRPr="00A45BCF">
        <w:t xml:space="preserve"> Aplicar una dosis de producto, frotar palmas, dorsos, espacios interdigitales, nudillos, pulgares y puntas de los dedos hasta que el producto se seque.</w:t>
      </w:r>
    </w:p>
    <w:p w14:paraId="3B1C47D3" w14:textId="77777777" w:rsidR="00A45BCF" w:rsidRPr="00A45BCF" w:rsidRDefault="00A45BCF" w:rsidP="00A45BCF">
      <w:pPr>
        <w:jc w:val="both"/>
        <w:rPr>
          <w:b/>
        </w:rPr>
      </w:pPr>
      <w:r w:rsidRPr="00A45BCF">
        <w:rPr>
          <w:b/>
        </w:rPr>
        <w:t>B. Lavado con Agua y Jabón</w:t>
      </w:r>
    </w:p>
    <w:p w14:paraId="46FC4E0E" w14:textId="77777777" w:rsidR="00A45BCF" w:rsidRPr="00A45BCF" w:rsidRDefault="00A45BCF" w:rsidP="00A45BCF">
      <w:pPr>
        <w:jc w:val="both"/>
      </w:pPr>
      <w:r w:rsidRPr="00A45BCF">
        <w:t>Obligatorio cuando hay suciedad visible, tras el contacto con fluidos corporales o después de ir al baño.</w:t>
      </w:r>
    </w:p>
    <w:p w14:paraId="584B5836" w14:textId="77777777" w:rsidR="00A45BCF" w:rsidRPr="00A45BCF" w:rsidRDefault="00A45BCF" w:rsidP="00A45BCF">
      <w:pPr>
        <w:numPr>
          <w:ilvl w:val="0"/>
          <w:numId w:val="25"/>
        </w:numPr>
        <w:jc w:val="both"/>
      </w:pPr>
      <w:r w:rsidRPr="00A45BCF">
        <w:rPr>
          <w:b/>
        </w:rPr>
        <w:t>Duración:</w:t>
      </w:r>
      <w:r w:rsidRPr="00A45BCF">
        <w:t xml:space="preserve"> 40–60 segundos.</w:t>
      </w:r>
    </w:p>
    <w:p w14:paraId="5D83E363" w14:textId="77777777" w:rsidR="00A45BCF" w:rsidRPr="00A45BCF" w:rsidRDefault="00A45BCF" w:rsidP="00A45BCF">
      <w:pPr>
        <w:numPr>
          <w:ilvl w:val="0"/>
          <w:numId w:val="25"/>
        </w:numPr>
        <w:jc w:val="both"/>
      </w:pPr>
      <w:r w:rsidRPr="00A45BCF">
        <w:rPr>
          <w:b/>
        </w:rPr>
        <w:lastRenderedPageBreak/>
        <w:t>Técnica:</w:t>
      </w:r>
      <w:r w:rsidRPr="00A45BCF">
        <w:t xml:space="preserve"> Mojar manos, aplicar jabón, frotar todas las superficies mencionadas arriba, aclarar con abundante agua y secar con toallas de papel desechables. </w:t>
      </w:r>
      <w:r w:rsidRPr="00A45BCF">
        <w:rPr>
          <w:b/>
        </w:rPr>
        <w:t>Use la toalla para cerrar el grifo.</w:t>
      </w:r>
    </w:p>
    <w:p w14:paraId="27B729A7" w14:textId="7C74D7A8" w:rsidR="00A45BCF" w:rsidRPr="00A45BCF" w:rsidRDefault="00A45BCF" w:rsidP="00A45BCF">
      <w:pPr>
        <w:jc w:val="both"/>
      </w:pPr>
    </w:p>
    <w:p w14:paraId="38C5B998" w14:textId="77777777" w:rsidR="00A45BCF" w:rsidRPr="00A45BCF" w:rsidRDefault="00A45BCF" w:rsidP="00A45BCF">
      <w:pPr>
        <w:jc w:val="both"/>
      </w:pPr>
      <w:r w:rsidRPr="00A45BCF">
        <w:rPr>
          <w:b/>
        </w:rPr>
        <w:t>3. Momentos Clave por Perfil Profesional</w:t>
      </w:r>
    </w:p>
    <w:p w14:paraId="146DD277" w14:textId="77777777" w:rsidR="00A45BCF" w:rsidRPr="00A45BCF" w:rsidRDefault="00A45BCF" w:rsidP="00A45BCF">
      <w:pPr>
        <w:jc w:val="both"/>
        <w:rPr>
          <w:b/>
        </w:rPr>
      </w:pPr>
      <w:r w:rsidRPr="00A45BCF">
        <w:rPr>
          <w:b/>
        </w:rPr>
        <w:t>Personal Sanitario (Médicos, Enfermería, TCAE)</w:t>
      </w:r>
    </w:p>
    <w:p w14:paraId="542FD554" w14:textId="77777777" w:rsidR="00A45BCF" w:rsidRPr="00A45BCF" w:rsidRDefault="00A45BCF" w:rsidP="00A45BCF">
      <w:pPr>
        <w:jc w:val="both"/>
      </w:pPr>
      <w:r w:rsidRPr="00A45BCF">
        <w:t xml:space="preserve">Deben seguir estrictamente los </w:t>
      </w:r>
      <w:r w:rsidRPr="00A45BCF">
        <w:rPr>
          <w:b/>
        </w:rPr>
        <w:t>"5 Momentos de la OMS"</w:t>
      </w:r>
      <w:r w:rsidRPr="00A45BCF">
        <w:t>:</w:t>
      </w:r>
    </w:p>
    <w:p w14:paraId="4A17D6E6" w14:textId="77777777" w:rsidR="00A45BCF" w:rsidRPr="00A45BCF" w:rsidRDefault="00A45BCF" w:rsidP="00A45BCF">
      <w:pPr>
        <w:numPr>
          <w:ilvl w:val="0"/>
          <w:numId w:val="26"/>
        </w:numPr>
        <w:jc w:val="both"/>
      </w:pPr>
      <w:r w:rsidRPr="00A45BCF">
        <w:t>Antes del contacto directo con el paciente.</w:t>
      </w:r>
    </w:p>
    <w:p w14:paraId="0F9C182A" w14:textId="77777777" w:rsidR="00A45BCF" w:rsidRPr="00A45BCF" w:rsidRDefault="00A45BCF" w:rsidP="00A45BCF">
      <w:pPr>
        <w:numPr>
          <w:ilvl w:val="0"/>
          <w:numId w:val="26"/>
        </w:numPr>
        <w:jc w:val="both"/>
      </w:pPr>
      <w:r w:rsidRPr="00A45BCF">
        <w:t>Antes de realizar una tarea limpia o aséptica.</w:t>
      </w:r>
    </w:p>
    <w:p w14:paraId="7257B83B" w14:textId="77777777" w:rsidR="00A45BCF" w:rsidRPr="00A45BCF" w:rsidRDefault="00A45BCF" w:rsidP="00A45BCF">
      <w:pPr>
        <w:numPr>
          <w:ilvl w:val="0"/>
          <w:numId w:val="26"/>
        </w:numPr>
        <w:jc w:val="both"/>
      </w:pPr>
      <w:r w:rsidRPr="00A45BCF">
        <w:t>Después del riesgo de exposición a fluidos corporales.</w:t>
      </w:r>
    </w:p>
    <w:p w14:paraId="2A439962" w14:textId="77777777" w:rsidR="00A45BCF" w:rsidRPr="00A45BCF" w:rsidRDefault="00A45BCF" w:rsidP="00A45BCF">
      <w:pPr>
        <w:numPr>
          <w:ilvl w:val="0"/>
          <w:numId w:val="26"/>
        </w:numPr>
        <w:jc w:val="both"/>
      </w:pPr>
      <w:r w:rsidRPr="00A45BCF">
        <w:t>Después del contacto con el paciente.</w:t>
      </w:r>
    </w:p>
    <w:p w14:paraId="7E601871" w14:textId="77777777" w:rsidR="00A45BCF" w:rsidRPr="00A45BCF" w:rsidRDefault="00A45BCF" w:rsidP="00A45BCF">
      <w:pPr>
        <w:numPr>
          <w:ilvl w:val="0"/>
          <w:numId w:val="26"/>
        </w:numPr>
        <w:jc w:val="both"/>
      </w:pPr>
      <w:r w:rsidRPr="00A45BCF">
        <w:t>Después del contacto con el entorno del paciente.</w:t>
      </w:r>
    </w:p>
    <w:p w14:paraId="4796B112" w14:textId="77777777" w:rsidR="00A45BCF" w:rsidRPr="00A45BCF" w:rsidRDefault="00A45BCF" w:rsidP="00A45BCF">
      <w:pPr>
        <w:jc w:val="both"/>
        <w:rPr>
          <w:b/>
        </w:rPr>
      </w:pPr>
      <w:r w:rsidRPr="00A45BCF">
        <w:rPr>
          <w:b/>
        </w:rPr>
        <w:t>Personal Auxiliar Administrativo</w:t>
      </w:r>
    </w:p>
    <w:p w14:paraId="7B13C97D" w14:textId="77777777" w:rsidR="00A45BCF" w:rsidRPr="00A45BCF" w:rsidRDefault="00A45BCF" w:rsidP="00A45BCF">
      <w:pPr>
        <w:jc w:val="both"/>
      </w:pPr>
      <w:r w:rsidRPr="00A45BCF">
        <w:t>Aunque no realizan tareas clínicas, están en la "primera línea" de recepción:</w:t>
      </w:r>
    </w:p>
    <w:p w14:paraId="4125CB54" w14:textId="77777777" w:rsidR="00A45BCF" w:rsidRPr="00A45BCF" w:rsidRDefault="00A45BCF" w:rsidP="00A45BCF">
      <w:pPr>
        <w:numPr>
          <w:ilvl w:val="0"/>
          <w:numId w:val="27"/>
        </w:numPr>
        <w:jc w:val="both"/>
      </w:pPr>
      <w:r w:rsidRPr="00A45BCF">
        <w:t>Tras el intercambio de documentos físicos o tarjetas de identidad.</w:t>
      </w:r>
    </w:p>
    <w:p w14:paraId="61F6265D" w14:textId="77777777" w:rsidR="00A45BCF" w:rsidRPr="00A45BCF" w:rsidRDefault="00A45BCF" w:rsidP="00A45BCF">
      <w:pPr>
        <w:numPr>
          <w:ilvl w:val="0"/>
          <w:numId w:val="27"/>
        </w:numPr>
        <w:jc w:val="both"/>
      </w:pPr>
      <w:r w:rsidRPr="00A45BCF">
        <w:t>Después de utilizar dispositivos compartidos (teléfonos, teclados de recepción).</w:t>
      </w:r>
    </w:p>
    <w:p w14:paraId="3B2A9740" w14:textId="77777777" w:rsidR="00A45BCF" w:rsidRPr="00A45BCF" w:rsidRDefault="00A45BCF" w:rsidP="00A45BCF">
      <w:pPr>
        <w:numPr>
          <w:ilvl w:val="0"/>
          <w:numId w:val="27"/>
        </w:numPr>
        <w:jc w:val="both"/>
      </w:pPr>
      <w:r w:rsidRPr="00A45BCF">
        <w:t>Antes y después de comer o tras usar áreas comunes.</w:t>
      </w:r>
    </w:p>
    <w:p w14:paraId="6BF94771" w14:textId="77777777" w:rsidR="00A45BCF" w:rsidRPr="00A45BCF" w:rsidRDefault="00A45BCF" w:rsidP="00A45BCF">
      <w:pPr>
        <w:numPr>
          <w:ilvl w:val="0"/>
          <w:numId w:val="27"/>
        </w:numPr>
        <w:jc w:val="both"/>
      </w:pPr>
      <w:r w:rsidRPr="00A45BCF">
        <w:t>Al inicio y al finalizar la jornada laboral.</w:t>
      </w:r>
    </w:p>
    <w:p w14:paraId="5536A80B" w14:textId="77777777" w:rsidR="00A45BCF" w:rsidRPr="00A45BCF" w:rsidRDefault="00A45BCF" w:rsidP="00A45BCF">
      <w:pPr>
        <w:jc w:val="both"/>
        <w:rPr>
          <w:b/>
        </w:rPr>
      </w:pPr>
      <w:r w:rsidRPr="00A45BCF">
        <w:rPr>
          <w:b/>
        </w:rPr>
        <w:t>Personal No Sanitario (Limpieza, Celadores, Mantenimiento)</w:t>
      </w:r>
    </w:p>
    <w:p w14:paraId="2CD9A0B6" w14:textId="77777777" w:rsidR="00A45BCF" w:rsidRPr="00A45BCF" w:rsidRDefault="00A45BCF" w:rsidP="00A45BCF">
      <w:pPr>
        <w:numPr>
          <w:ilvl w:val="0"/>
          <w:numId w:val="28"/>
        </w:numPr>
        <w:jc w:val="both"/>
      </w:pPr>
      <w:r w:rsidRPr="00A45BCF">
        <w:rPr>
          <w:b/>
        </w:rPr>
        <w:t>Limpieza:</w:t>
      </w:r>
      <w:r w:rsidRPr="00A45BCF">
        <w:t xml:space="preserve"> Siempre después de retirar guantes y tras limpiar zonas de alto tránsito (pomos, barandillas).</w:t>
      </w:r>
    </w:p>
    <w:p w14:paraId="33F7437B" w14:textId="77777777" w:rsidR="00A45BCF" w:rsidRPr="00A45BCF" w:rsidRDefault="00A45BCF" w:rsidP="00A45BCF">
      <w:pPr>
        <w:numPr>
          <w:ilvl w:val="0"/>
          <w:numId w:val="28"/>
        </w:numPr>
        <w:jc w:val="both"/>
      </w:pPr>
      <w:r w:rsidRPr="00A45BCF">
        <w:rPr>
          <w:b/>
        </w:rPr>
        <w:t>Celadores:</w:t>
      </w:r>
      <w:r w:rsidRPr="00A45BCF">
        <w:t xml:space="preserve"> Antes y después de movilizar a un paciente o su silla de ruedas/camilla.</w:t>
      </w:r>
    </w:p>
    <w:p w14:paraId="2FE48599" w14:textId="77777777" w:rsidR="00A45BCF" w:rsidRPr="00A45BCF" w:rsidRDefault="00A45BCF" w:rsidP="00A45BCF">
      <w:pPr>
        <w:numPr>
          <w:ilvl w:val="0"/>
          <w:numId w:val="28"/>
        </w:numPr>
        <w:jc w:val="both"/>
      </w:pPr>
      <w:r w:rsidRPr="00A45BCF">
        <w:rPr>
          <w:b/>
        </w:rPr>
        <w:t>Mantenimiento:</w:t>
      </w:r>
      <w:r w:rsidRPr="00A45BCF">
        <w:t xml:space="preserve"> Tras manipular sistemas de climatización, fontanería o residuos.</w:t>
      </w:r>
    </w:p>
    <w:p w14:paraId="6CE61619" w14:textId="2982447D" w:rsidR="00A45BCF" w:rsidRPr="00A45BCF" w:rsidRDefault="00A45BCF" w:rsidP="00A45BCF">
      <w:pPr>
        <w:jc w:val="both"/>
      </w:pPr>
    </w:p>
    <w:p w14:paraId="51EA9CEA" w14:textId="77777777" w:rsidR="00A45BCF" w:rsidRPr="00A45BCF" w:rsidRDefault="00A45BCF" w:rsidP="00A45BCF">
      <w:pPr>
        <w:jc w:val="both"/>
        <w:rPr>
          <w:b/>
        </w:rPr>
      </w:pPr>
      <w:r w:rsidRPr="00A45BCF">
        <w:rPr>
          <w:b/>
        </w:rPr>
        <w:t>4. Requisitos de las Manos y Barreras</w:t>
      </w:r>
    </w:p>
    <w:p w14:paraId="3092A323" w14:textId="77777777" w:rsidR="00A45BCF" w:rsidRPr="00A45BCF" w:rsidRDefault="00A45BCF" w:rsidP="00A45BCF">
      <w:pPr>
        <w:jc w:val="both"/>
      </w:pPr>
      <w:r w:rsidRPr="00A45BCF">
        <w:t>Para que la higiene sea efectiva, se deben cumplir ciertas normas de apariencia profesional:</w:t>
      </w:r>
    </w:p>
    <w:p w14:paraId="04893F4C" w14:textId="77777777" w:rsidR="00A45BCF" w:rsidRPr="00A45BCF" w:rsidRDefault="00A45BCF" w:rsidP="00A45BCF">
      <w:pPr>
        <w:numPr>
          <w:ilvl w:val="0"/>
          <w:numId w:val="29"/>
        </w:numPr>
        <w:jc w:val="both"/>
      </w:pPr>
      <w:r w:rsidRPr="00A45BCF">
        <w:rPr>
          <w:b/>
        </w:rPr>
        <w:lastRenderedPageBreak/>
        <w:t>Uñas:</w:t>
      </w:r>
      <w:r w:rsidRPr="00A45BCF">
        <w:t xml:space="preserve"> Deben estar cortas, limpias y </w:t>
      </w:r>
      <w:r w:rsidRPr="00A45BCF">
        <w:rPr>
          <w:b/>
        </w:rPr>
        <w:t>sin esmalte</w:t>
      </w:r>
      <w:r w:rsidRPr="00A45BCF">
        <w:t xml:space="preserve"> (las grietas en el esmalte acumulan bacterias).</w:t>
      </w:r>
    </w:p>
    <w:p w14:paraId="204E0853" w14:textId="77777777" w:rsidR="00A45BCF" w:rsidRPr="00A45BCF" w:rsidRDefault="00A45BCF" w:rsidP="00A45BCF">
      <w:pPr>
        <w:numPr>
          <w:ilvl w:val="0"/>
          <w:numId w:val="29"/>
        </w:numPr>
        <w:jc w:val="both"/>
      </w:pPr>
      <w:r w:rsidRPr="00A45BCF">
        <w:rPr>
          <w:b/>
        </w:rPr>
        <w:t>Uñas Artificiales:</w:t>
      </w:r>
      <w:r w:rsidRPr="00A45BCF">
        <w:t xml:space="preserve"> Están prohibidas en el ámbito sanitario por el alto riesgo de colonización por hongos y bacterias gramnegativas.</w:t>
      </w:r>
    </w:p>
    <w:p w14:paraId="6CA21717" w14:textId="77777777" w:rsidR="00A45BCF" w:rsidRPr="00A45BCF" w:rsidRDefault="00A45BCF" w:rsidP="00A45BCF">
      <w:pPr>
        <w:numPr>
          <w:ilvl w:val="0"/>
          <w:numId w:val="29"/>
        </w:numPr>
        <w:jc w:val="both"/>
      </w:pPr>
      <w:r w:rsidRPr="00A45BCF">
        <w:rPr>
          <w:b/>
        </w:rPr>
        <w:t>Joyas:</w:t>
      </w:r>
      <w:r w:rsidRPr="00A45BCF">
        <w:t xml:space="preserve"> No se deben usar anillos, pulseras ni relojes de pulsera durante la jornada, ya que actúan como reservorios de patógenos y dificultan la limpieza correcta de las muñecas.</w:t>
      </w:r>
    </w:p>
    <w:p w14:paraId="215CBD60" w14:textId="058A3E04" w:rsidR="00A45BCF" w:rsidRPr="00A45BCF" w:rsidRDefault="00A45BCF" w:rsidP="00A45BCF">
      <w:pPr>
        <w:jc w:val="both"/>
      </w:pPr>
    </w:p>
    <w:p w14:paraId="7DD9D4A0" w14:textId="77777777" w:rsidR="00A45BCF" w:rsidRPr="00A45BCF" w:rsidRDefault="00A45BCF" w:rsidP="00A45BCF">
      <w:pPr>
        <w:jc w:val="both"/>
      </w:pPr>
      <w:r w:rsidRPr="00A45BCF">
        <w:rPr>
          <w:b/>
        </w:rPr>
        <w:t>5. El Uso de Guantes</w:t>
      </w:r>
    </w:p>
    <w:p w14:paraId="28BF0CA4" w14:textId="77777777" w:rsidR="00A45BCF" w:rsidRPr="00A45BCF" w:rsidRDefault="00A45BCF" w:rsidP="00A45BCF">
      <w:pPr>
        <w:jc w:val="both"/>
      </w:pPr>
      <w:r w:rsidRPr="00A45BCF">
        <w:t xml:space="preserve">Es fundamental recordar que </w:t>
      </w:r>
      <w:r w:rsidRPr="00A45BCF">
        <w:rPr>
          <w:b/>
        </w:rPr>
        <w:t>el uso de guantes no sustituye la higiene de manos</w:t>
      </w:r>
      <w:r w:rsidRPr="00A45BCF">
        <w:t>.</w:t>
      </w:r>
    </w:p>
    <w:p w14:paraId="4454B5A3" w14:textId="77777777" w:rsidR="00A45BCF" w:rsidRPr="00A45BCF" w:rsidRDefault="00A45BCF" w:rsidP="00A45BCF">
      <w:pPr>
        <w:numPr>
          <w:ilvl w:val="0"/>
          <w:numId w:val="29"/>
        </w:numPr>
        <w:jc w:val="both"/>
      </w:pPr>
      <w:r w:rsidRPr="00A45BCF">
        <w:t>Los guantes deben cambiarse entre pacientes o tareas distintas.</w:t>
      </w:r>
    </w:p>
    <w:p w14:paraId="00C901B0" w14:textId="77777777" w:rsidR="00A45BCF" w:rsidRPr="00A45BCF" w:rsidRDefault="00A45BCF" w:rsidP="00A45BCF">
      <w:pPr>
        <w:numPr>
          <w:ilvl w:val="0"/>
          <w:numId w:val="29"/>
        </w:numPr>
        <w:jc w:val="both"/>
      </w:pPr>
      <w:r w:rsidRPr="00A45BCF">
        <w:t xml:space="preserve">Se debe realizar higiene de manos </w:t>
      </w:r>
      <w:r w:rsidRPr="00A45BCF">
        <w:rPr>
          <w:b/>
        </w:rPr>
        <w:t>inmediatamente después de quitarse los guantes</w:t>
      </w:r>
      <w:r w:rsidRPr="00A45BCF">
        <w:t>, ya que estos pueden tener microporos o las manos pueden contaminarse durante la retirada.</w:t>
      </w:r>
    </w:p>
    <w:p w14:paraId="3A527DC0" w14:textId="2379C153" w:rsidR="00A45BCF" w:rsidRPr="00A45BCF" w:rsidRDefault="00A45BCF" w:rsidP="00A45BCF">
      <w:pPr>
        <w:jc w:val="both"/>
      </w:pPr>
    </w:p>
    <w:p w14:paraId="09AF0D2A" w14:textId="77777777" w:rsidR="00A45BCF" w:rsidRPr="00A45BCF" w:rsidRDefault="00A45BCF" w:rsidP="00A45BCF">
      <w:pPr>
        <w:jc w:val="both"/>
        <w:rPr>
          <w:b/>
        </w:rPr>
      </w:pPr>
      <w:r w:rsidRPr="00A45BCF">
        <w:rPr>
          <w:b/>
        </w:rPr>
        <w:t>Conclusión</w:t>
      </w:r>
    </w:p>
    <w:p w14:paraId="1B98BE1B" w14:textId="77777777" w:rsidR="00A45BCF" w:rsidRPr="00A45BCF" w:rsidRDefault="00A45BCF" w:rsidP="00A45BCF">
      <w:pPr>
        <w:jc w:val="both"/>
      </w:pPr>
      <w:r w:rsidRPr="00A45BCF">
        <w:t>La seguridad del paciente y del trabajador comienza en sus propias manos. La adherencia a estos protocolos no solo es una norma técnica, sino un compromiso ético con la salud pública. Un administrativo que se desinfecta las manos tras atender a un usuario contribuye tanto a la seguridad del centro como el cirujano que realiza un lavado quirúrgico.</w:t>
      </w:r>
    </w:p>
    <w:p w14:paraId="4DC1CDFA" w14:textId="10FA4487" w:rsidR="00A45BCF" w:rsidRPr="00A45BCF" w:rsidRDefault="00A45BCF" w:rsidP="00A45BCF">
      <w:pPr>
        <w:jc w:val="both"/>
      </w:pPr>
    </w:p>
    <w:p w14:paraId="1F07C431" w14:textId="77777777" w:rsidR="00A45BCF" w:rsidRPr="00A45BCF" w:rsidRDefault="00A45BCF" w:rsidP="00A45BCF">
      <w:pPr>
        <w:jc w:val="both"/>
        <w:rPr>
          <w:b/>
        </w:rPr>
      </w:pPr>
      <w:r w:rsidRPr="00A45BCF">
        <w:rPr>
          <w:b/>
        </w:rPr>
        <w:t>Bibliografía</w:t>
      </w:r>
    </w:p>
    <w:p w14:paraId="07FE5383" w14:textId="77777777" w:rsidR="00A45BCF" w:rsidRPr="00A45BCF" w:rsidRDefault="00A45BCF" w:rsidP="00A45BCF">
      <w:pPr>
        <w:numPr>
          <w:ilvl w:val="0"/>
          <w:numId w:val="30"/>
        </w:numPr>
        <w:jc w:val="both"/>
      </w:pPr>
      <w:r w:rsidRPr="00A45BCF">
        <w:rPr>
          <w:b/>
        </w:rPr>
        <w:t>Organización Mundial de la Salud (OMS).</w:t>
      </w:r>
      <w:r w:rsidRPr="00A45BCF">
        <w:t xml:space="preserve"> (2009). </w:t>
      </w:r>
      <w:r w:rsidRPr="00A45BCF">
        <w:rPr>
          <w:i/>
        </w:rPr>
        <w:t>Directrices de la OMS sobre la higiene de las manos en la atención sanitaria</w:t>
      </w:r>
      <w:r w:rsidRPr="00A45BCF">
        <w:t>. Ginebra, Suiza.</w:t>
      </w:r>
    </w:p>
    <w:p w14:paraId="42D6758C" w14:textId="77777777" w:rsidR="00A45BCF" w:rsidRPr="00A45BCF" w:rsidRDefault="00A45BCF" w:rsidP="00A45BCF">
      <w:pPr>
        <w:numPr>
          <w:ilvl w:val="0"/>
          <w:numId w:val="30"/>
        </w:numPr>
        <w:jc w:val="both"/>
      </w:pPr>
      <w:r w:rsidRPr="00A45BCF">
        <w:rPr>
          <w:b/>
        </w:rPr>
        <w:t>Ministerio de Sanidad, Consumo y Bienestar Social.</w:t>
      </w:r>
      <w:r w:rsidRPr="00A45BCF">
        <w:t xml:space="preserve"> (2021). </w:t>
      </w:r>
      <w:r w:rsidRPr="00A45BCF">
        <w:rPr>
          <w:i/>
        </w:rPr>
        <w:t>Seguridad del Paciente: Higiene de Manos</w:t>
      </w:r>
      <w:r w:rsidRPr="00A45BCF">
        <w:t>. Madrid, España.</w:t>
      </w:r>
    </w:p>
    <w:p w14:paraId="3868551A" w14:textId="77777777" w:rsidR="00A45BCF" w:rsidRPr="00A45BCF" w:rsidRDefault="00A45BCF" w:rsidP="00A45BCF">
      <w:pPr>
        <w:numPr>
          <w:ilvl w:val="0"/>
          <w:numId w:val="30"/>
        </w:numPr>
        <w:jc w:val="both"/>
      </w:pPr>
      <w:r w:rsidRPr="00A45BCF">
        <w:rPr>
          <w:b/>
        </w:rPr>
        <w:t>Centros para el Control y la Prevención de Enfermedades (CDC).</w:t>
      </w:r>
      <w:r w:rsidRPr="00A45BCF">
        <w:t xml:space="preserve"> </w:t>
      </w:r>
      <w:r w:rsidRPr="00A45BCF">
        <w:rPr>
          <w:lang w:val="en-GB"/>
        </w:rPr>
        <w:t xml:space="preserve">(2020). </w:t>
      </w:r>
      <w:r w:rsidRPr="00A45BCF">
        <w:rPr>
          <w:i/>
          <w:lang w:val="en-GB"/>
        </w:rPr>
        <w:t>Hand Hygiene in Healthcare Settings</w:t>
      </w:r>
      <w:r w:rsidRPr="00A45BCF">
        <w:rPr>
          <w:lang w:val="en-GB"/>
        </w:rPr>
        <w:t xml:space="preserve">. </w:t>
      </w:r>
      <w:r w:rsidRPr="00A45BCF">
        <w:t>Atlanta, USA.</w:t>
      </w:r>
    </w:p>
    <w:p w14:paraId="159586BD" w14:textId="77777777" w:rsidR="00A45BCF" w:rsidRDefault="00A45BCF" w:rsidP="00A45BCF">
      <w:pPr>
        <w:numPr>
          <w:ilvl w:val="0"/>
          <w:numId w:val="30"/>
        </w:numPr>
        <w:jc w:val="both"/>
      </w:pPr>
      <w:r w:rsidRPr="00A45BCF">
        <w:rPr>
          <w:b/>
          <w:lang w:val="en-GB"/>
        </w:rPr>
        <w:t>Boyce, J. M., &amp; Pittet, D.</w:t>
      </w:r>
      <w:r w:rsidRPr="00A45BCF">
        <w:rPr>
          <w:lang w:val="en-GB"/>
        </w:rPr>
        <w:t xml:space="preserve"> (2002). </w:t>
      </w:r>
      <w:r w:rsidRPr="00A45BCF">
        <w:rPr>
          <w:i/>
          <w:lang w:val="en-GB"/>
        </w:rPr>
        <w:t>Guideline for Hand Hygiene in Health-Care Settings</w:t>
      </w:r>
      <w:r w:rsidRPr="00A45BCF">
        <w:rPr>
          <w:lang w:val="en-GB"/>
        </w:rPr>
        <w:t xml:space="preserve">. </w:t>
      </w:r>
      <w:proofErr w:type="spellStart"/>
      <w:r w:rsidRPr="00A45BCF">
        <w:t>Recommendations</w:t>
      </w:r>
      <w:proofErr w:type="spellEnd"/>
      <w:r w:rsidRPr="00A45BCF">
        <w:t xml:space="preserve"> </w:t>
      </w:r>
      <w:proofErr w:type="spellStart"/>
      <w:r w:rsidRPr="00A45BCF">
        <w:t>of</w:t>
      </w:r>
      <w:proofErr w:type="spellEnd"/>
      <w:r w:rsidRPr="00A45BCF">
        <w:t xml:space="preserve"> </w:t>
      </w:r>
      <w:proofErr w:type="spellStart"/>
      <w:r w:rsidRPr="00A45BCF">
        <w:t>the</w:t>
      </w:r>
      <w:proofErr w:type="spellEnd"/>
      <w:r w:rsidRPr="00A45BCF">
        <w:t xml:space="preserve"> </w:t>
      </w:r>
      <w:proofErr w:type="spellStart"/>
      <w:r w:rsidRPr="00A45BCF">
        <w:t>Healthcare</w:t>
      </w:r>
      <w:proofErr w:type="spellEnd"/>
      <w:r w:rsidRPr="00A45BCF">
        <w:t xml:space="preserve"> </w:t>
      </w:r>
      <w:proofErr w:type="spellStart"/>
      <w:r w:rsidRPr="00A45BCF">
        <w:t>Infection</w:t>
      </w:r>
      <w:proofErr w:type="spellEnd"/>
      <w:r w:rsidRPr="00A45BCF">
        <w:t xml:space="preserve"> Control </w:t>
      </w:r>
      <w:proofErr w:type="spellStart"/>
      <w:r w:rsidRPr="00A45BCF">
        <w:t>Practices</w:t>
      </w:r>
      <w:proofErr w:type="spellEnd"/>
      <w:r w:rsidRPr="00A45BCF">
        <w:t xml:space="preserve"> </w:t>
      </w:r>
      <w:proofErr w:type="spellStart"/>
      <w:r w:rsidRPr="00A45BCF">
        <w:t>Advisory</w:t>
      </w:r>
      <w:proofErr w:type="spellEnd"/>
      <w:r w:rsidRPr="00A45BCF">
        <w:t xml:space="preserve"> </w:t>
      </w:r>
      <w:proofErr w:type="spellStart"/>
      <w:r w:rsidRPr="00A45BCF">
        <w:t>Committee</w:t>
      </w:r>
      <w:proofErr w:type="spellEnd"/>
      <w:r w:rsidRPr="00A45BCF">
        <w:t>.</w:t>
      </w:r>
    </w:p>
    <w:p w14:paraId="2F74AA9A" w14:textId="77777777" w:rsidR="00A45BCF" w:rsidRDefault="00A45BCF" w:rsidP="00A45BCF">
      <w:pPr>
        <w:jc w:val="both"/>
      </w:pPr>
    </w:p>
    <w:p w14:paraId="3F7A5300" w14:textId="77777777" w:rsidR="00A45BCF" w:rsidRPr="00A45BCF" w:rsidRDefault="00A45BCF" w:rsidP="00A45BCF">
      <w:pPr>
        <w:jc w:val="both"/>
        <w:rPr>
          <w:b/>
        </w:rPr>
      </w:pPr>
      <w:r w:rsidRPr="00A45BCF">
        <w:rPr>
          <w:b/>
        </w:rPr>
        <w:lastRenderedPageBreak/>
        <w:t>El Impacto del Trabajo a Turnos en el Ritmo de Sueño del Personal Sanitario y No Sanitario</w:t>
      </w:r>
    </w:p>
    <w:p w14:paraId="52CF0F13" w14:textId="77777777" w:rsidR="00A45BCF" w:rsidRPr="00A45BCF" w:rsidRDefault="00A45BCF" w:rsidP="00A45BCF">
      <w:pPr>
        <w:jc w:val="both"/>
      </w:pPr>
      <w:r w:rsidRPr="00A45BCF">
        <w:t>El trabajo a turnos, una modalidad laboral cada vez más común, tiene un impacto significativo en el ritmo circadiano y, en consecuencia, en la salud del individuo. Este tipo de trabajo implica que los empleados cambien de horario laboral de manera rotativa, es decir, trabajan durante las noches, mañanas y tardes de forma no fija. Este cambio constante afecta principalmente a los trabajadores que deben ajustarse a este ritmo, como es el caso del personal sanitario y no sanitario. A continuación, se exploran las consecuencias de este tipo de trabajo sobre el ritmo de sueño y las implicaciones para la salud de ambos grupos.</w:t>
      </w:r>
    </w:p>
    <w:p w14:paraId="6C823134" w14:textId="77777777" w:rsidR="00A45BCF" w:rsidRPr="00A45BCF" w:rsidRDefault="00A45BCF" w:rsidP="00A45BCF">
      <w:pPr>
        <w:jc w:val="both"/>
        <w:rPr>
          <w:b/>
        </w:rPr>
      </w:pPr>
      <w:r w:rsidRPr="00A45BCF">
        <w:rPr>
          <w:b/>
        </w:rPr>
        <w:t>El Ritmo Circadiano y el Trabajo a Turnos</w:t>
      </w:r>
    </w:p>
    <w:p w14:paraId="59A687E8" w14:textId="77777777" w:rsidR="00A45BCF" w:rsidRPr="00A45BCF" w:rsidRDefault="00A45BCF" w:rsidP="00A45BCF">
      <w:pPr>
        <w:jc w:val="both"/>
      </w:pPr>
      <w:r w:rsidRPr="00A45BCF">
        <w:t>El ritmo circadiano es un proceso biológico que regula las funciones del cuerpo en un ciclo de 24 horas, incluyendo los patrones de sueño y vigilia. Este ritmo está influenciado principalmente por la luz y la oscuridad, y está adaptado a un ciclo de día y noche. El trabajo a turnos interrumpe este ciclo natural, ya que obliga a los individuos a dormir y estar despiertos en momentos no alineados con su reloj biológico interno (Folkard et al., 2003). La interrupción prolongada del ritmo circadiano se asocia con alteraciones en la calidad del sueño, el bienestar general y el rendimiento.  Impacto en el Personal Sanitario</w:t>
      </w:r>
    </w:p>
    <w:p w14:paraId="64B8BE66" w14:textId="77777777" w:rsidR="00A45BCF" w:rsidRPr="00A45BCF" w:rsidRDefault="00A45BCF" w:rsidP="00A45BCF">
      <w:pPr>
        <w:jc w:val="both"/>
      </w:pPr>
      <w:r w:rsidRPr="00A45BCF">
        <w:t>El personal sanitario, como médicos, enfermeras y técnicos, se ve particularmente afectado por el trabajo a turnos debido a la naturaleza de sus funciones, que a menudo requieren que estén disponibles las 24 horas del día. Investigaciones indican que los trabajadores sanitarios enfrentan una alta carga de turnos nocturnos y rotativos, lo que interfiere con su capacidad para mantener un sueño reparador. Según un estudio de Knauth (2007), los turnos nocturnos aumentan el riesgo de trastornos del sueño, como el insomnio, y pueden reducir la eficiencia y la calidad del sueño.</w:t>
      </w:r>
    </w:p>
    <w:p w14:paraId="1E6D3735" w14:textId="77777777" w:rsidR="00A45BCF" w:rsidRPr="00A45BCF" w:rsidRDefault="00A45BCF" w:rsidP="00A45BCF">
      <w:pPr>
        <w:jc w:val="both"/>
      </w:pPr>
      <w:r w:rsidRPr="00A45BCF">
        <w:t>Los efectos fisiológicos de los turnos nocturnos en el personal sanitario incluyen una disminución de la secreción de melatonina, la hormona responsable del sueño, durante las horas nocturnas (Arendt, 2005). Esto puede llevar a una disminución de la alerta y del rendimiento cognitivo, lo cual es especialmente peligroso en el entorno sanitario, donde la precisión y la concentración son esenciales para la seguridad de los pacientes. La falta de sueño puede conducir a errores humanos, aumentando el riesgo de complicaciones en el cuidado de los pacientes (Cappuccio et al., 2010).</w:t>
      </w:r>
    </w:p>
    <w:p w14:paraId="5EEBB229" w14:textId="77777777" w:rsidR="00A45BCF" w:rsidRPr="00A45BCF" w:rsidRDefault="00A45BCF" w:rsidP="00A45BCF">
      <w:pPr>
        <w:jc w:val="both"/>
      </w:pPr>
      <w:r w:rsidRPr="00A45BCF">
        <w:t xml:space="preserve">Además, la alteración del ritmo circadiano puede tener consecuencias a largo plazo para la salud del personal sanitario. Estudios han demostrado que el trabajo nocturno y el trabajo a turnos están relacionados con un mayor riesgo de </w:t>
      </w:r>
      <w:r w:rsidRPr="00A45BCF">
        <w:lastRenderedPageBreak/>
        <w:t>enfermedades cardiovasculares, trastornos metabólicos, y problemas de salud mental, como la depresión y la ansiedad (</w:t>
      </w:r>
      <w:proofErr w:type="spellStart"/>
      <w:r w:rsidRPr="00A45BCF">
        <w:t>Sadeghniiat</w:t>
      </w:r>
      <w:proofErr w:type="spellEnd"/>
      <w:r w:rsidRPr="00A45BCF">
        <w:t>-Haghighi &amp; Yazdi, 2015).</w:t>
      </w:r>
    </w:p>
    <w:p w14:paraId="131EBACB" w14:textId="77777777" w:rsidR="00A45BCF" w:rsidRPr="00A45BCF" w:rsidRDefault="00A45BCF" w:rsidP="00A45BCF">
      <w:pPr>
        <w:jc w:val="both"/>
        <w:rPr>
          <w:b/>
        </w:rPr>
      </w:pPr>
      <w:r w:rsidRPr="00A45BCF">
        <w:rPr>
          <w:b/>
        </w:rPr>
        <w:t xml:space="preserve"> Impacto en el Personal No Sanitario</w:t>
      </w:r>
    </w:p>
    <w:p w14:paraId="1CF0C6CE" w14:textId="77777777" w:rsidR="00A45BCF" w:rsidRPr="00A45BCF" w:rsidRDefault="00A45BCF" w:rsidP="00A45BCF">
      <w:pPr>
        <w:jc w:val="both"/>
      </w:pPr>
      <w:r w:rsidRPr="00A45BCF">
        <w:t>Aunque los efectos del trabajo a turnos en el personal sanitario son bien conocidos, el impacto en el personal no sanitario también es relevante. Trabajadores en sectores como la industria, la atención al cliente y los transportes, que también se ven obligados a trabajar en horarios no convencionales, experimentan alteraciones similares en su ritmo de sueño. Sin embargo, la diferencia principal radica en el tipo de tareas realizadas y la exigencia cognitiva de cada trabajo.</w:t>
      </w:r>
    </w:p>
    <w:p w14:paraId="5C078422" w14:textId="77777777" w:rsidR="00A45BCF" w:rsidRPr="00A45BCF" w:rsidRDefault="00A45BCF" w:rsidP="00A45BCF">
      <w:pPr>
        <w:jc w:val="both"/>
      </w:pPr>
      <w:r w:rsidRPr="00A45BCF">
        <w:t>En el caso del personal no sanitario, aunque el trabajo a turnos también afecta la calidad del sueño y la salud general, el impacto no suele ser tan crítico como en el sector sanitario, donde el rendimiento cognitivo es esencial para evitar riesgos (Costa, 2003). Sin embargo, se han observado efectos negativos sobre la salud de estos trabajadores, como un mayor riesgo de trastornos metabólicos, obesidad y problemas gastrointestinales debido a los desajustes en los horarios de comida y sueño (Wright et al., 2013).</w:t>
      </w:r>
    </w:p>
    <w:p w14:paraId="2764E824" w14:textId="77777777" w:rsidR="00A45BCF" w:rsidRPr="00A45BCF" w:rsidRDefault="00A45BCF" w:rsidP="00A45BCF">
      <w:pPr>
        <w:jc w:val="both"/>
        <w:rPr>
          <w:b/>
        </w:rPr>
      </w:pPr>
      <w:r w:rsidRPr="00A45BCF">
        <w:rPr>
          <w:b/>
        </w:rPr>
        <w:t>Soluciones y Recomendaciones</w:t>
      </w:r>
    </w:p>
    <w:p w14:paraId="652A741C" w14:textId="77777777" w:rsidR="00A45BCF" w:rsidRPr="00A45BCF" w:rsidRDefault="00A45BCF" w:rsidP="00A45BCF">
      <w:pPr>
        <w:jc w:val="both"/>
      </w:pPr>
      <w:r w:rsidRPr="00A45BCF">
        <w:t>Para mitigar los efectos negativos del trabajo a turnos sobre el ritmo de sueño, es fundamental adoptar estrategias de manejo adecuadas. Una de las principales recomendaciones es establecer turnos que roten en una dirección (de mañana a tarde a noche), ya que los cambios de turno hacia la noche son más perjudiciales que aquellos que siguen un ciclo diurno (Folkard &amp; Tucker, 2003). Además, es importante crear ambientes laborales que favorezcan el sueño, como la provisión de espacios adecuados para descansar y estrategias de iluminación que ayuden a ajustar el reloj biológico.</w:t>
      </w:r>
    </w:p>
    <w:p w14:paraId="28B53781" w14:textId="77777777" w:rsidR="00A45BCF" w:rsidRPr="00A45BCF" w:rsidRDefault="00A45BCF" w:rsidP="00A45BCF">
      <w:pPr>
        <w:jc w:val="both"/>
      </w:pPr>
      <w:r w:rsidRPr="00A45BCF">
        <w:t>En cuanto a la salud mental y física, se recomienda fomentar una rutina regular de ejercicio, mantener una dieta equilibrada y proporcionar apoyo psicológico para aquellos trabajadores que se vean más afectados por las alteraciones del sueño (</w:t>
      </w:r>
      <w:proofErr w:type="spellStart"/>
      <w:r w:rsidRPr="00A45BCF">
        <w:t>Mullington</w:t>
      </w:r>
      <w:proofErr w:type="spellEnd"/>
      <w:r w:rsidRPr="00A45BCF">
        <w:t xml:space="preserve"> et al., 2009).</w:t>
      </w:r>
    </w:p>
    <w:p w14:paraId="4B1F27D4" w14:textId="77777777" w:rsidR="00A45BCF" w:rsidRPr="00A45BCF" w:rsidRDefault="00A45BCF" w:rsidP="00A45BCF">
      <w:pPr>
        <w:jc w:val="both"/>
        <w:rPr>
          <w:b/>
        </w:rPr>
      </w:pPr>
      <w:r w:rsidRPr="00A45BCF">
        <w:rPr>
          <w:b/>
        </w:rPr>
        <w:t>Conclusión</w:t>
      </w:r>
    </w:p>
    <w:p w14:paraId="0547D34D" w14:textId="77777777" w:rsidR="00A45BCF" w:rsidRPr="00A45BCF" w:rsidRDefault="00A45BCF" w:rsidP="00A45BCF">
      <w:pPr>
        <w:jc w:val="both"/>
      </w:pPr>
      <w:r w:rsidRPr="00A45BCF">
        <w:t>El trabajo a turnos tiene un impacto significativo en el ritmo de sueño tanto para el personal sanitario como para el no sanitario. Sin embargo, la naturaleza crítica del trabajo en el ámbito sanitario hace que los efectos sean más pronunciados, con consecuencias directas sobre la salud de los trabajadores y la seguridad de los pacientes. Por tanto, es esencial adoptar medidas para reducir los riesgos asociados al trabajo a turnos, promoviendo la salud y el bienestar de los empleados en todos los sectores.</w:t>
      </w:r>
    </w:p>
    <w:p w14:paraId="2F81D7F0" w14:textId="77777777" w:rsidR="00A45BCF" w:rsidRPr="00A45BCF" w:rsidRDefault="00A45BCF" w:rsidP="00A45BCF">
      <w:pPr>
        <w:jc w:val="both"/>
        <w:rPr>
          <w:b/>
        </w:rPr>
      </w:pPr>
      <w:r w:rsidRPr="00A45BCF">
        <w:rPr>
          <w:b/>
        </w:rPr>
        <w:lastRenderedPageBreak/>
        <w:t xml:space="preserve"> Bibliografía</w:t>
      </w:r>
    </w:p>
    <w:p w14:paraId="2345D70C" w14:textId="77777777" w:rsidR="00A45BCF" w:rsidRPr="00A45BCF" w:rsidRDefault="00A45BCF" w:rsidP="00A45BCF">
      <w:pPr>
        <w:numPr>
          <w:ilvl w:val="0"/>
          <w:numId w:val="31"/>
        </w:numPr>
        <w:jc w:val="both"/>
      </w:pPr>
      <w:r w:rsidRPr="00A45BCF">
        <w:rPr>
          <w:lang w:val="en-GB"/>
        </w:rPr>
        <w:t xml:space="preserve">Arendt, J. (2005). "Melatonin and the pineal gland: influence on mammalian seasonal and circadian physiology." </w:t>
      </w:r>
      <w:r w:rsidRPr="00A45BCF">
        <w:t>*</w:t>
      </w:r>
      <w:proofErr w:type="spellStart"/>
      <w:r w:rsidRPr="00A45BCF">
        <w:t>Reviews</w:t>
      </w:r>
      <w:proofErr w:type="spellEnd"/>
      <w:r w:rsidRPr="00A45BCF">
        <w:t xml:space="preserve"> in Endocrine and </w:t>
      </w:r>
      <w:proofErr w:type="spellStart"/>
      <w:r w:rsidRPr="00A45BCF">
        <w:t>Metabolic</w:t>
      </w:r>
      <w:proofErr w:type="spellEnd"/>
      <w:r w:rsidRPr="00A45BCF">
        <w:t xml:space="preserve"> </w:t>
      </w:r>
      <w:proofErr w:type="spellStart"/>
      <w:r w:rsidRPr="00A45BCF">
        <w:t>Disorders</w:t>
      </w:r>
      <w:proofErr w:type="spellEnd"/>
      <w:r w:rsidRPr="00A45BCF">
        <w:t>*, 6(1), 23-35.</w:t>
      </w:r>
    </w:p>
    <w:p w14:paraId="4957BE6D" w14:textId="77777777" w:rsidR="00A45BCF" w:rsidRPr="00A45BCF" w:rsidRDefault="00A45BCF" w:rsidP="00A45BCF">
      <w:pPr>
        <w:numPr>
          <w:ilvl w:val="0"/>
          <w:numId w:val="31"/>
        </w:numPr>
        <w:jc w:val="both"/>
      </w:pPr>
      <w:r w:rsidRPr="00A45BCF">
        <w:t xml:space="preserve">Cappuccio, F. P., et al. </w:t>
      </w:r>
      <w:r w:rsidRPr="00A45BCF">
        <w:rPr>
          <w:lang w:val="en-GB"/>
        </w:rPr>
        <w:t xml:space="preserve">(2010). "Sleep duration and all-cause mortality: a systematic review and meta-analysis of prospective studies." </w:t>
      </w:r>
      <w:r w:rsidRPr="00A45BCF">
        <w:t>*Sleep*, 33(5), 585-592.</w:t>
      </w:r>
    </w:p>
    <w:p w14:paraId="463137FC" w14:textId="77777777" w:rsidR="00A45BCF" w:rsidRPr="00A45BCF" w:rsidRDefault="00A45BCF" w:rsidP="00A45BCF">
      <w:pPr>
        <w:numPr>
          <w:ilvl w:val="0"/>
          <w:numId w:val="31"/>
        </w:numPr>
        <w:jc w:val="both"/>
      </w:pPr>
      <w:r w:rsidRPr="00A45BCF">
        <w:rPr>
          <w:lang w:val="en-GB"/>
        </w:rPr>
        <w:t xml:space="preserve">Costa, G. (2003). "Factors influencing health of workers in the working environment." </w:t>
      </w:r>
      <w:r w:rsidRPr="00A45BCF">
        <w:t xml:space="preserve">*The </w:t>
      </w:r>
      <w:proofErr w:type="spellStart"/>
      <w:r w:rsidRPr="00A45BCF">
        <w:t>Annals</w:t>
      </w:r>
      <w:proofErr w:type="spellEnd"/>
      <w:r w:rsidRPr="00A45BCF">
        <w:t xml:space="preserve"> </w:t>
      </w:r>
      <w:proofErr w:type="spellStart"/>
      <w:r w:rsidRPr="00A45BCF">
        <w:t>of</w:t>
      </w:r>
      <w:proofErr w:type="spellEnd"/>
      <w:r w:rsidRPr="00A45BCF">
        <w:t xml:space="preserve"> </w:t>
      </w:r>
      <w:proofErr w:type="spellStart"/>
      <w:r w:rsidRPr="00A45BCF">
        <w:t>Occupational</w:t>
      </w:r>
      <w:proofErr w:type="spellEnd"/>
      <w:r w:rsidRPr="00A45BCF">
        <w:t xml:space="preserve"> </w:t>
      </w:r>
      <w:proofErr w:type="spellStart"/>
      <w:r w:rsidRPr="00A45BCF">
        <w:t>Hygiene</w:t>
      </w:r>
      <w:proofErr w:type="spellEnd"/>
      <w:r w:rsidRPr="00A45BCF">
        <w:t>*, 47(6), 517-532.</w:t>
      </w:r>
    </w:p>
    <w:p w14:paraId="693D96F6" w14:textId="77777777" w:rsidR="00A45BCF" w:rsidRPr="00A45BCF" w:rsidRDefault="00A45BCF" w:rsidP="00A45BCF">
      <w:pPr>
        <w:numPr>
          <w:ilvl w:val="0"/>
          <w:numId w:val="31"/>
        </w:numPr>
        <w:jc w:val="both"/>
      </w:pPr>
      <w:r w:rsidRPr="00A45BCF">
        <w:rPr>
          <w:lang w:val="en-GB"/>
        </w:rPr>
        <w:t xml:space="preserve">Folkard, S., &amp; Tucker, P. (2003). "Shift work, safety, and productivity." </w:t>
      </w:r>
      <w:r w:rsidRPr="00A45BCF">
        <w:t>*</w:t>
      </w:r>
      <w:proofErr w:type="spellStart"/>
      <w:r w:rsidRPr="00A45BCF">
        <w:t>Occupational</w:t>
      </w:r>
      <w:proofErr w:type="spellEnd"/>
      <w:r w:rsidRPr="00A45BCF">
        <w:t xml:space="preserve"> Medicine*,53(2), 95-101.</w:t>
      </w:r>
    </w:p>
    <w:p w14:paraId="7AD54217" w14:textId="77777777" w:rsidR="00A45BCF" w:rsidRPr="00A45BCF" w:rsidRDefault="00A45BCF" w:rsidP="00A45BCF">
      <w:pPr>
        <w:numPr>
          <w:ilvl w:val="0"/>
          <w:numId w:val="31"/>
        </w:numPr>
        <w:jc w:val="both"/>
      </w:pPr>
      <w:r w:rsidRPr="00A45BCF">
        <w:rPr>
          <w:lang w:val="en-GB"/>
        </w:rPr>
        <w:t xml:space="preserve">Folkard, S., et al. (2003). "Time-of-day effects on the occurrence of accidents in a gas refinery." </w:t>
      </w:r>
      <w:r w:rsidRPr="00A45BCF">
        <w:t>*</w:t>
      </w:r>
      <w:proofErr w:type="spellStart"/>
      <w:r w:rsidRPr="00A45BCF">
        <w:t>Scandinavian</w:t>
      </w:r>
      <w:proofErr w:type="spellEnd"/>
      <w:r w:rsidRPr="00A45BCF">
        <w:t xml:space="preserve"> </w:t>
      </w:r>
      <w:proofErr w:type="spellStart"/>
      <w:r w:rsidRPr="00A45BCF">
        <w:t>Journal</w:t>
      </w:r>
      <w:proofErr w:type="spellEnd"/>
      <w:r w:rsidRPr="00A45BCF">
        <w:t xml:space="preserve"> </w:t>
      </w:r>
      <w:proofErr w:type="spellStart"/>
      <w:r w:rsidRPr="00A45BCF">
        <w:t>of</w:t>
      </w:r>
      <w:proofErr w:type="spellEnd"/>
      <w:r w:rsidRPr="00A45BCF">
        <w:t xml:space="preserve"> Work, </w:t>
      </w:r>
      <w:proofErr w:type="spellStart"/>
      <w:r w:rsidRPr="00A45BCF">
        <w:t>Environment</w:t>
      </w:r>
      <w:proofErr w:type="spellEnd"/>
      <w:r w:rsidRPr="00A45BCF">
        <w:t xml:space="preserve"> &amp; Health*, 29(1), 41-48.</w:t>
      </w:r>
    </w:p>
    <w:p w14:paraId="62556DAE" w14:textId="77777777" w:rsidR="00A45BCF" w:rsidRPr="00A45BCF" w:rsidRDefault="00A45BCF" w:rsidP="00A45BCF">
      <w:pPr>
        <w:numPr>
          <w:ilvl w:val="0"/>
          <w:numId w:val="31"/>
        </w:numPr>
        <w:jc w:val="both"/>
      </w:pPr>
      <w:r w:rsidRPr="00A45BCF">
        <w:rPr>
          <w:lang w:val="en-GB"/>
        </w:rPr>
        <w:t>Knauth, P. (2007). "Health and well-being in shift workers." *The Lancet*, 369(9577), 67-</w:t>
      </w:r>
      <w:proofErr w:type="gramStart"/>
      <w:r w:rsidRPr="00A45BCF">
        <w:rPr>
          <w:lang w:val="en-GB"/>
        </w:rPr>
        <w:t>68.*</w:t>
      </w:r>
      <w:proofErr w:type="gramEnd"/>
      <w:r w:rsidRPr="00A45BCF">
        <w:rPr>
          <w:lang w:val="en-GB"/>
        </w:rPr>
        <w:t xml:space="preserve"> </w:t>
      </w:r>
      <w:proofErr w:type="spellStart"/>
      <w:r w:rsidRPr="00A45BCF">
        <w:rPr>
          <w:lang w:val="en-GB"/>
        </w:rPr>
        <w:t>Mullington</w:t>
      </w:r>
      <w:proofErr w:type="spellEnd"/>
      <w:r w:rsidRPr="00A45BCF">
        <w:rPr>
          <w:lang w:val="en-GB"/>
        </w:rPr>
        <w:t xml:space="preserve">, J. M., et al. </w:t>
      </w:r>
      <w:r w:rsidRPr="00A45BCF">
        <w:t xml:space="preserve">(2009). "Sleep </w:t>
      </w:r>
      <w:proofErr w:type="spellStart"/>
      <w:r w:rsidRPr="00A45BCF">
        <w:t>deprivation</w:t>
      </w:r>
      <w:proofErr w:type="spellEnd"/>
      <w:r w:rsidRPr="00A45BCF">
        <w:t xml:space="preserve"> and </w:t>
      </w:r>
      <w:proofErr w:type="spellStart"/>
      <w:r w:rsidRPr="00A45BCF">
        <w:t>immune</w:t>
      </w:r>
      <w:proofErr w:type="spellEnd"/>
      <w:r w:rsidRPr="00A45BCF">
        <w:t xml:space="preserve"> </w:t>
      </w:r>
      <w:proofErr w:type="spellStart"/>
      <w:r w:rsidRPr="00A45BCF">
        <w:t>function</w:t>
      </w:r>
      <w:proofErr w:type="spellEnd"/>
      <w:r w:rsidRPr="00A45BCF">
        <w:t xml:space="preserve">." *Sleep Medicine </w:t>
      </w:r>
      <w:proofErr w:type="spellStart"/>
      <w:r w:rsidRPr="00A45BCF">
        <w:t>Reviews</w:t>
      </w:r>
      <w:proofErr w:type="spellEnd"/>
      <w:r w:rsidRPr="00A45BCF">
        <w:t>*, 13(5), 233-241.</w:t>
      </w:r>
    </w:p>
    <w:p w14:paraId="025D99D6" w14:textId="77777777" w:rsidR="00A45BCF" w:rsidRPr="00A45BCF" w:rsidRDefault="00A45BCF" w:rsidP="00A45BCF">
      <w:pPr>
        <w:numPr>
          <w:ilvl w:val="0"/>
          <w:numId w:val="31"/>
        </w:numPr>
        <w:jc w:val="both"/>
      </w:pPr>
      <w:proofErr w:type="spellStart"/>
      <w:r w:rsidRPr="00A45BCF">
        <w:rPr>
          <w:lang w:val="en-GB"/>
        </w:rPr>
        <w:t>Sadeghniiat</w:t>
      </w:r>
      <w:proofErr w:type="spellEnd"/>
      <w:r w:rsidRPr="00A45BCF">
        <w:rPr>
          <w:lang w:val="en-GB"/>
        </w:rPr>
        <w:t xml:space="preserve">-Haghighi, K., &amp; Yazdi, Z. (2015). "Effects of shift work on health: A literature review." </w:t>
      </w:r>
      <w:r w:rsidRPr="00A45BCF">
        <w:t>*</w:t>
      </w:r>
      <w:proofErr w:type="spellStart"/>
      <w:r w:rsidRPr="00A45BCF">
        <w:t>Journal</w:t>
      </w:r>
      <w:proofErr w:type="spellEnd"/>
      <w:r w:rsidRPr="00A45BCF">
        <w:t xml:space="preserve"> </w:t>
      </w:r>
      <w:proofErr w:type="spellStart"/>
      <w:r w:rsidRPr="00A45BCF">
        <w:t>of</w:t>
      </w:r>
      <w:proofErr w:type="spellEnd"/>
      <w:r w:rsidRPr="00A45BCF">
        <w:t xml:space="preserve"> </w:t>
      </w:r>
      <w:proofErr w:type="spellStart"/>
      <w:r w:rsidRPr="00A45BCF">
        <w:t>Research</w:t>
      </w:r>
      <w:proofErr w:type="spellEnd"/>
      <w:r w:rsidRPr="00A45BCF">
        <w:t xml:space="preserve"> in Medical </w:t>
      </w:r>
      <w:proofErr w:type="spellStart"/>
      <w:r w:rsidRPr="00A45BCF">
        <w:t>Sciences</w:t>
      </w:r>
      <w:proofErr w:type="spellEnd"/>
      <w:r w:rsidRPr="00A45BCF">
        <w:t>*, 20(7), 485-493.</w:t>
      </w:r>
    </w:p>
    <w:p w14:paraId="5BE35040" w14:textId="77777777" w:rsidR="00A45BCF" w:rsidRPr="00A45BCF" w:rsidRDefault="00A45BCF" w:rsidP="00A45BCF">
      <w:pPr>
        <w:numPr>
          <w:ilvl w:val="0"/>
          <w:numId w:val="31"/>
        </w:numPr>
        <w:jc w:val="both"/>
      </w:pPr>
      <w:r w:rsidRPr="00A45BCF">
        <w:rPr>
          <w:lang w:val="en-GB"/>
        </w:rPr>
        <w:t xml:space="preserve">Wright, K. P., et al. (2013). "Sleep and circadian rhythms in shift work." </w:t>
      </w:r>
      <w:r w:rsidRPr="00A45BCF">
        <w:t xml:space="preserve">*Sleep Medicine </w:t>
      </w:r>
      <w:proofErr w:type="spellStart"/>
      <w:r w:rsidRPr="00A45BCF">
        <w:t>Clinics</w:t>
      </w:r>
      <w:proofErr w:type="spellEnd"/>
      <w:r w:rsidRPr="00A45BCF">
        <w:t>*, 8(3), 227-239.</w:t>
      </w:r>
    </w:p>
    <w:p w14:paraId="080C48DE" w14:textId="77777777" w:rsidR="00A45BCF" w:rsidRPr="00A45BCF" w:rsidRDefault="00A45BCF" w:rsidP="00A45BCF">
      <w:pPr>
        <w:jc w:val="both"/>
      </w:pPr>
    </w:p>
    <w:p w14:paraId="30A5C230" w14:textId="77777777" w:rsidR="00A45BCF" w:rsidRDefault="00A45BCF" w:rsidP="00CE24EF">
      <w:pPr>
        <w:jc w:val="both"/>
      </w:pPr>
    </w:p>
    <w:p w14:paraId="777550E6" w14:textId="77777777" w:rsidR="00A45BCF" w:rsidRDefault="00A45BCF" w:rsidP="00CE24EF">
      <w:pPr>
        <w:jc w:val="both"/>
      </w:pPr>
    </w:p>
    <w:p w14:paraId="1A781AAE" w14:textId="77777777" w:rsidR="00A45BCF" w:rsidRDefault="00A45BCF" w:rsidP="00CE24EF">
      <w:pPr>
        <w:jc w:val="both"/>
      </w:pPr>
    </w:p>
    <w:p w14:paraId="14A39827" w14:textId="77777777" w:rsidR="00A45BCF" w:rsidRDefault="00A45BCF" w:rsidP="00CE24EF">
      <w:pPr>
        <w:jc w:val="both"/>
      </w:pPr>
    </w:p>
    <w:p w14:paraId="17FA226A" w14:textId="77777777" w:rsidR="00A45BCF" w:rsidRDefault="00A45BCF" w:rsidP="00CE24EF">
      <w:pPr>
        <w:jc w:val="both"/>
      </w:pPr>
    </w:p>
    <w:p w14:paraId="1092F851" w14:textId="77777777" w:rsidR="00A45BCF" w:rsidRDefault="00A45BCF" w:rsidP="00CE24EF">
      <w:pPr>
        <w:jc w:val="both"/>
      </w:pPr>
    </w:p>
    <w:p w14:paraId="2E2E3456" w14:textId="77777777" w:rsidR="00A45BCF" w:rsidRDefault="00A45BCF" w:rsidP="00CE24EF">
      <w:pPr>
        <w:jc w:val="both"/>
      </w:pPr>
    </w:p>
    <w:p w14:paraId="6BBBA6FF" w14:textId="77777777" w:rsidR="00A45BCF" w:rsidRDefault="00A45BCF" w:rsidP="00CE24EF">
      <w:pPr>
        <w:jc w:val="both"/>
      </w:pPr>
    </w:p>
    <w:p w14:paraId="0B7EF99B" w14:textId="77777777" w:rsidR="00A45BCF" w:rsidRDefault="00A45BCF" w:rsidP="00CE24EF">
      <w:pPr>
        <w:jc w:val="both"/>
      </w:pPr>
    </w:p>
    <w:p w14:paraId="56C47803" w14:textId="77777777" w:rsidR="00A45BCF" w:rsidRDefault="00A45BCF" w:rsidP="00CE24EF">
      <w:pPr>
        <w:jc w:val="both"/>
      </w:pPr>
    </w:p>
    <w:p w14:paraId="4F69D1EB" w14:textId="77777777" w:rsidR="00A45BCF" w:rsidRDefault="00A45BCF" w:rsidP="00A45BCF">
      <w:pPr>
        <w:jc w:val="both"/>
        <w:rPr>
          <w:b/>
        </w:rPr>
      </w:pPr>
      <w:r w:rsidRPr="00A45BCF">
        <w:rPr>
          <w:b/>
        </w:rPr>
        <w:lastRenderedPageBreak/>
        <w:t>Identificación precoz y prevención del estrés laboral en el personal sanitario y no sanitario</w:t>
      </w:r>
    </w:p>
    <w:p w14:paraId="27B7B3FA" w14:textId="25127045" w:rsidR="00A45BCF" w:rsidRPr="00A45BCF" w:rsidRDefault="00A45BCF" w:rsidP="00A45BCF">
      <w:pPr>
        <w:jc w:val="both"/>
        <w:rPr>
          <w:b/>
        </w:rPr>
      </w:pPr>
      <w:r w:rsidRPr="00A45BCF">
        <w:rPr>
          <w:b/>
        </w:rPr>
        <w:t xml:space="preserve"> Introducción</w:t>
      </w:r>
    </w:p>
    <w:p w14:paraId="4D803471" w14:textId="77777777" w:rsidR="00A45BCF" w:rsidRPr="00A45BCF" w:rsidRDefault="00A45BCF" w:rsidP="00A45BCF">
      <w:pPr>
        <w:jc w:val="both"/>
      </w:pPr>
      <w:r w:rsidRPr="00A45BCF">
        <w:t>El estrés laboral es una respuesta física, emocional y cognitiva que aparece cuando las demandas del trabajo superan la capacidad del trabajador para afrontarlas. Se trata de uno de los principales riesgos psicosociales en las organizaciones y puede afectar tanto al personal sanitario como al no sanitario, independientemente de la categoría profesional o del nivel de responsabilidad.</w:t>
      </w:r>
    </w:p>
    <w:p w14:paraId="4A68BCD9" w14:textId="77777777" w:rsidR="00A45BCF" w:rsidRPr="00A45BCF" w:rsidRDefault="00A45BCF" w:rsidP="00A45BCF">
      <w:pPr>
        <w:jc w:val="both"/>
      </w:pPr>
      <w:r w:rsidRPr="00A45BCF">
        <w:t xml:space="preserve">En los centros sanitarios, sociosanitarios y administrativos, factores como la elevada carga de trabajo, la presión asistencial, la atención continuada al público, la falta de tiempo, la incertidumbre y los cambios organizativos pueden favorecer la aparición de estrés. Cuando esta situación se mantiene de forma prolongada, aumenta el riesgo de problemas de salud física y mental, disminuye el rendimiento laboral y puede afectar a la calidad del servicio prestado. La Organización Mundial de la Salud y el Instituto Nacional de Seguridad y Salud en el Trabajo destacan la importancia de actuar sobre los riesgos psicosociales mediante intervenciones organizativas y de promoción de la salud. </w:t>
      </w:r>
    </w:p>
    <w:p w14:paraId="2F21BCF4" w14:textId="77777777" w:rsidR="00A45BCF" w:rsidRPr="00A45BCF" w:rsidRDefault="00A45BCF" w:rsidP="00A45BCF">
      <w:pPr>
        <w:jc w:val="both"/>
      </w:pPr>
      <w:r w:rsidRPr="00A45BCF">
        <w:t>La detección precoz de los factores de riesgo y la implantación de medidas preventivas permiten minimizar las consecuencias del estrés laboral y favorecer entornos de trabajo más seguros y saludables.</w:t>
      </w:r>
    </w:p>
    <w:p w14:paraId="3C5ABA9A" w14:textId="77777777" w:rsidR="00A45BCF" w:rsidRPr="00A45BCF" w:rsidRDefault="00A45BCF" w:rsidP="00A45BCF">
      <w:pPr>
        <w:jc w:val="both"/>
        <w:rPr>
          <w:b/>
        </w:rPr>
      </w:pPr>
      <w:r w:rsidRPr="00A45BCF">
        <w:rPr>
          <w:b/>
        </w:rPr>
        <w:t>Objetivo</w:t>
      </w:r>
    </w:p>
    <w:p w14:paraId="7FB5773D" w14:textId="77777777" w:rsidR="00A45BCF" w:rsidRPr="00A45BCF" w:rsidRDefault="00A45BCF" w:rsidP="00A45BCF">
      <w:pPr>
        <w:jc w:val="both"/>
      </w:pPr>
      <w:r w:rsidRPr="00A45BCF">
        <w:t>Analizar los principales factores asociados al estrés laboral y describir estrategias preventivas dirigidas al personal sanitario y no sanitario para promover el bienestar y mejorar la calidad del trabajo.</w:t>
      </w:r>
    </w:p>
    <w:p w14:paraId="6FAC626F" w14:textId="77777777" w:rsidR="00A45BCF" w:rsidRPr="00A45BCF" w:rsidRDefault="00A45BCF" w:rsidP="00A45BCF">
      <w:pPr>
        <w:jc w:val="both"/>
        <w:rPr>
          <w:b/>
        </w:rPr>
      </w:pPr>
      <w:r w:rsidRPr="00A45BCF">
        <w:rPr>
          <w:b/>
        </w:rPr>
        <w:t>Material y método</w:t>
      </w:r>
    </w:p>
    <w:p w14:paraId="43491F28" w14:textId="77777777" w:rsidR="00A45BCF" w:rsidRPr="00A45BCF" w:rsidRDefault="00A45BCF" w:rsidP="00A45BCF">
      <w:pPr>
        <w:jc w:val="both"/>
      </w:pPr>
      <w:r w:rsidRPr="00A45BCF">
        <w:t xml:space="preserve">Se realizó una revisión bibliográfica descriptiva mediante la consulta de artículos científicos, revisiones sistemáticas y documentos técnicos publicados entre 2015 y 2025. Se revisaron las bases de datos PubMed, </w:t>
      </w:r>
      <w:proofErr w:type="spellStart"/>
      <w:r w:rsidRPr="00A45BCF">
        <w:t>Scopus</w:t>
      </w:r>
      <w:proofErr w:type="spellEnd"/>
      <w:r w:rsidRPr="00A45BCF">
        <w:t xml:space="preserve"> y Google Scholar, así como documentos elaborados por organismos nacionales e internacionales especializados en salud laboral y riesgos psicosociales.</w:t>
      </w:r>
    </w:p>
    <w:p w14:paraId="673D0B7C" w14:textId="77777777" w:rsidR="00A45BCF" w:rsidRPr="00A45BCF" w:rsidRDefault="00A45BCF" w:rsidP="00A45BCF">
      <w:pPr>
        <w:jc w:val="both"/>
      </w:pPr>
      <w:r w:rsidRPr="00A45BCF">
        <w:t>Se seleccionaron publicaciones relacionadas con los factores desencadenantes del estrés laboral, sus consecuencias y las intervenciones preventivas en diferentes entornos profesionales.</w:t>
      </w:r>
    </w:p>
    <w:p w14:paraId="2BEE789A" w14:textId="77777777" w:rsidR="00A45BCF" w:rsidRPr="00A45BCF" w:rsidRDefault="00A45BCF" w:rsidP="00A45BCF">
      <w:pPr>
        <w:jc w:val="both"/>
        <w:rPr>
          <w:b/>
        </w:rPr>
      </w:pPr>
      <w:r w:rsidRPr="00A45BCF">
        <w:rPr>
          <w:b/>
        </w:rPr>
        <w:t>Resultados</w:t>
      </w:r>
    </w:p>
    <w:p w14:paraId="76957CA4" w14:textId="77777777" w:rsidR="00A45BCF" w:rsidRPr="00A45BCF" w:rsidRDefault="00A45BCF" w:rsidP="00A45BCF">
      <w:pPr>
        <w:jc w:val="both"/>
      </w:pPr>
      <w:r w:rsidRPr="00A45BCF">
        <w:t xml:space="preserve">La evidencia científica indica que el estrés laboral se relaciona con factores como la sobrecarga de trabajo, la falta de autonomía, la ambigüedad de funciones, los </w:t>
      </w:r>
      <w:r w:rsidRPr="00A45BCF">
        <w:lastRenderedPageBreak/>
        <w:t xml:space="preserve">conflictos interpersonales, el trabajo a turnos y el escaso apoyo organizativo. Estos factores pueden provocar síntomas como fatiga persistente, irritabilidad, dificultades de concentración, alteraciones del sueño, ansiedad y disminución de la motivación. </w:t>
      </w:r>
    </w:p>
    <w:p w14:paraId="5FDB9178" w14:textId="77777777" w:rsidR="00A45BCF" w:rsidRPr="00A45BCF" w:rsidRDefault="00A45BCF" w:rsidP="00A45BCF">
      <w:pPr>
        <w:jc w:val="both"/>
      </w:pPr>
      <w:r w:rsidRPr="00A45BCF">
        <w:t>En el personal sanitario, la presión asistencial, la toma de decisiones complejas y el contacto continuado con el sufrimiento incrementan la vulnerabilidad al estrés. En el personal no sanitario, la atención al público, la acumulación de tareas administrativas, los plazos ajustados y los cambios organizativos también constituyen importantes fuentes de tensión.</w:t>
      </w:r>
    </w:p>
    <w:p w14:paraId="05688609" w14:textId="77777777" w:rsidR="00A45BCF" w:rsidRPr="00A45BCF" w:rsidRDefault="00A45BCF" w:rsidP="00A45BCF">
      <w:pPr>
        <w:jc w:val="both"/>
      </w:pPr>
      <w:r w:rsidRPr="00A45BCF">
        <w:t xml:space="preserve">Los estudios revisados muestran que las intervenciones más eficaces combinan medidas organizativas e individuales. Entre las primeras destacan la adecuada distribución de las cargas de trabajo, la definición clara de funciones, la mejora de la comunicación interna y el fortalecimiento del trabajo en equipo. Entre las estrategias individuales se encuentran la planificación del trabajo, la práctica regular de actividad física, el descanso suficiente, las técnicas de relajación y el desarrollo de habilidades de afrontamiento. </w:t>
      </w:r>
    </w:p>
    <w:p w14:paraId="15EAA7CB" w14:textId="77777777" w:rsidR="00A45BCF" w:rsidRPr="00A45BCF" w:rsidRDefault="00A45BCF" w:rsidP="00A45BCF">
      <w:pPr>
        <w:jc w:val="both"/>
      </w:pPr>
      <w:r w:rsidRPr="00A45BCF">
        <w:t xml:space="preserve">Asimismo, la formación de mandos y trabajadores en salud mental, la creación de canales de apoyo y la promoción de una cultura organizativa basada en el respeto y la colaboración se asocian con una reducción del estrés y una mejora del bienestar laboral. </w:t>
      </w:r>
    </w:p>
    <w:p w14:paraId="6633C3C7" w14:textId="77777777" w:rsidR="00A45BCF" w:rsidRPr="00A45BCF" w:rsidRDefault="00A45BCF" w:rsidP="00A45BCF">
      <w:pPr>
        <w:jc w:val="both"/>
        <w:rPr>
          <w:b/>
        </w:rPr>
      </w:pPr>
      <w:r w:rsidRPr="00A45BCF">
        <w:rPr>
          <w:b/>
        </w:rPr>
        <w:t>Conclusiones</w:t>
      </w:r>
    </w:p>
    <w:p w14:paraId="6AEA8980" w14:textId="77777777" w:rsidR="00A45BCF" w:rsidRPr="00A45BCF" w:rsidRDefault="00A45BCF" w:rsidP="00A45BCF">
      <w:pPr>
        <w:jc w:val="both"/>
      </w:pPr>
      <w:r w:rsidRPr="00A45BCF">
        <w:t>El estrés laboral representa un importante desafío para el personal sanitario y no sanitario debido a su impacto sobre la salud, la satisfacción profesional y la calidad de los servicios.</w:t>
      </w:r>
    </w:p>
    <w:p w14:paraId="42A9D608" w14:textId="77777777" w:rsidR="00A45BCF" w:rsidRPr="00A45BCF" w:rsidRDefault="00A45BCF" w:rsidP="00A45BCF">
      <w:pPr>
        <w:jc w:val="both"/>
      </w:pPr>
      <w:r w:rsidRPr="00A45BCF">
        <w:t>La prevención debe centrarse en la identificación temprana de los riesgos psicosociales, la mejora de la organización del trabajo y el fortalecimiento de los recursos personales de los trabajadores. La implicación de las organizaciones resulta esencial para crear entornos laborales saludables que favorezcan el bienestar, la motivación y la seguridad.</w:t>
      </w:r>
    </w:p>
    <w:p w14:paraId="0884C55B" w14:textId="77777777" w:rsidR="00A45BCF" w:rsidRPr="00A45BCF" w:rsidRDefault="00A45BCF" w:rsidP="00A45BCF">
      <w:pPr>
        <w:jc w:val="both"/>
      </w:pPr>
      <w:r w:rsidRPr="00A45BCF">
        <w:t>La formación continuada, el apoyo institucional y la promoción de hábitos saludables constituyen herramientas eficaces para reducir el impacto del estrés laboral y mejorar el desempeño profesional.</w:t>
      </w:r>
    </w:p>
    <w:p w14:paraId="6893DC5E" w14:textId="77777777" w:rsidR="00A45BCF" w:rsidRPr="00A45BCF" w:rsidRDefault="00A45BCF" w:rsidP="00A45BCF">
      <w:pPr>
        <w:jc w:val="both"/>
        <w:rPr>
          <w:b/>
        </w:rPr>
      </w:pPr>
      <w:r w:rsidRPr="00A45BCF">
        <w:rPr>
          <w:b/>
        </w:rPr>
        <w:t>Bibliografía</w:t>
      </w:r>
    </w:p>
    <w:p w14:paraId="0B79F7B7" w14:textId="77777777" w:rsidR="00A45BCF" w:rsidRPr="00A45BCF" w:rsidRDefault="00A45BCF" w:rsidP="00A45BCF">
      <w:pPr>
        <w:numPr>
          <w:ilvl w:val="0"/>
          <w:numId w:val="32"/>
        </w:numPr>
        <w:jc w:val="both"/>
      </w:pPr>
      <w:r w:rsidRPr="00A45BCF">
        <w:t>Organización Mundial de la Salud. (2024). *Mental Health at Work*. ([Organización Mundial de la Salud][1])</w:t>
      </w:r>
    </w:p>
    <w:p w14:paraId="6120DABB" w14:textId="77777777" w:rsidR="00A45BCF" w:rsidRPr="00A45BCF" w:rsidRDefault="00A45BCF" w:rsidP="00A45BCF">
      <w:pPr>
        <w:numPr>
          <w:ilvl w:val="0"/>
          <w:numId w:val="32"/>
        </w:numPr>
        <w:jc w:val="both"/>
      </w:pPr>
      <w:r w:rsidRPr="00A45BCF">
        <w:lastRenderedPageBreak/>
        <w:t>Instituto Nacional de Seguridad y Salud en el Trabajo. (2024). *Estrés laboral*. ([Portal INSST]</w:t>
      </w:r>
    </w:p>
    <w:p w14:paraId="44741B10" w14:textId="77777777" w:rsidR="00A45BCF" w:rsidRPr="00A45BCF" w:rsidRDefault="00A45BCF" w:rsidP="00A45BCF">
      <w:pPr>
        <w:jc w:val="both"/>
      </w:pPr>
      <w:r w:rsidRPr="00A45BCF">
        <w:t>[2])</w:t>
      </w:r>
    </w:p>
    <w:p w14:paraId="353F1A91" w14:textId="77777777" w:rsidR="00A45BCF" w:rsidRPr="00A45BCF" w:rsidRDefault="00A45BCF" w:rsidP="00A45BCF">
      <w:pPr>
        <w:numPr>
          <w:ilvl w:val="0"/>
          <w:numId w:val="32"/>
        </w:numPr>
        <w:jc w:val="both"/>
      </w:pPr>
      <w:r w:rsidRPr="00A45BCF">
        <w:t xml:space="preserve">Organización Mundial de la Salud. *Riesgos psicosociales y salud mental en el sector sanitario*. </w:t>
      </w:r>
    </w:p>
    <w:p w14:paraId="50EAF9C7" w14:textId="77777777" w:rsidR="00A45BCF" w:rsidRPr="00A45BCF" w:rsidRDefault="00A45BCF" w:rsidP="00A45BCF">
      <w:pPr>
        <w:jc w:val="both"/>
      </w:pPr>
      <w:r w:rsidRPr="00A45BCF">
        <w:t>([Organización Mundial de la Salud][3])</w:t>
      </w:r>
    </w:p>
    <w:p w14:paraId="617D1D9C" w14:textId="77777777" w:rsidR="00A45BCF" w:rsidRPr="00A45BCF" w:rsidRDefault="00A45BCF" w:rsidP="00A45BCF">
      <w:pPr>
        <w:numPr>
          <w:ilvl w:val="0"/>
          <w:numId w:val="32"/>
        </w:numPr>
        <w:jc w:val="both"/>
      </w:pPr>
      <w:r w:rsidRPr="00A45BCF">
        <w:rPr>
          <w:lang w:val="en-GB"/>
        </w:rPr>
        <w:t xml:space="preserve">Lazarus, R. S., &amp; Folkman, S. (2015). *Stress, Appraisal and Coping*. </w:t>
      </w:r>
      <w:r w:rsidRPr="00A45BCF">
        <w:t>Springer.</w:t>
      </w:r>
    </w:p>
    <w:p w14:paraId="17E5CD1B" w14:textId="77777777" w:rsidR="00A45BCF" w:rsidRPr="00A45BCF" w:rsidRDefault="00A45BCF" w:rsidP="00A45BCF">
      <w:pPr>
        <w:numPr>
          <w:ilvl w:val="0"/>
          <w:numId w:val="32"/>
        </w:numPr>
        <w:jc w:val="both"/>
      </w:pPr>
      <w:r w:rsidRPr="00A45BCF">
        <w:rPr>
          <w:lang w:val="en-GB"/>
        </w:rPr>
        <w:t xml:space="preserve">Cooper, C. L., Dewe, P. J., &amp; O'Driscoll, M. P. (2019). *Organizational Stress: A Review and Critique of Theory, Research and Applications*. </w:t>
      </w:r>
      <w:r w:rsidRPr="00A45BCF">
        <w:t xml:space="preserve">Sage </w:t>
      </w:r>
      <w:proofErr w:type="spellStart"/>
      <w:r w:rsidRPr="00A45BCF">
        <w:t>Publications</w:t>
      </w:r>
      <w:proofErr w:type="spellEnd"/>
      <w:r w:rsidRPr="00A45BCF">
        <w:t>.</w:t>
      </w:r>
    </w:p>
    <w:p w14:paraId="1D74ECA5" w14:textId="77777777" w:rsidR="00A45BCF" w:rsidRDefault="00A45BCF" w:rsidP="00CE24EF">
      <w:pPr>
        <w:jc w:val="both"/>
      </w:pPr>
    </w:p>
    <w:p w14:paraId="11E6910C" w14:textId="77777777" w:rsidR="00A45BCF" w:rsidRDefault="00A45BCF" w:rsidP="00CE24EF">
      <w:pPr>
        <w:jc w:val="both"/>
      </w:pPr>
    </w:p>
    <w:p w14:paraId="0B182E29" w14:textId="77777777" w:rsidR="00A45BCF" w:rsidRDefault="00A45BCF" w:rsidP="00CE24EF">
      <w:pPr>
        <w:jc w:val="both"/>
      </w:pPr>
    </w:p>
    <w:p w14:paraId="204E94AB" w14:textId="77777777" w:rsidR="00A45BCF" w:rsidRDefault="00A45BCF" w:rsidP="00CE24EF">
      <w:pPr>
        <w:jc w:val="both"/>
      </w:pPr>
    </w:p>
    <w:p w14:paraId="75E7D3C9" w14:textId="77777777" w:rsidR="00A45BCF" w:rsidRDefault="00A45BCF" w:rsidP="00CE24EF">
      <w:pPr>
        <w:jc w:val="both"/>
      </w:pPr>
    </w:p>
    <w:p w14:paraId="04F1EF58" w14:textId="77777777" w:rsidR="00A45BCF" w:rsidRDefault="00A45BCF" w:rsidP="00CE24EF">
      <w:pPr>
        <w:jc w:val="both"/>
      </w:pPr>
    </w:p>
    <w:p w14:paraId="1CC15807" w14:textId="77777777" w:rsidR="00A45BCF" w:rsidRDefault="00A45BCF" w:rsidP="00CE24EF">
      <w:pPr>
        <w:jc w:val="both"/>
      </w:pPr>
    </w:p>
    <w:p w14:paraId="741E804E" w14:textId="77777777" w:rsidR="00A45BCF" w:rsidRDefault="00A45BCF" w:rsidP="00CE24EF">
      <w:pPr>
        <w:jc w:val="both"/>
      </w:pPr>
    </w:p>
    <w:p w14:paraId="49FFFA18" w14:textId="77777777" w:rsidR="00A45BCF" w:rsidRDefault="00A45BCF" w:rsidP="00CE24EF">
      <w:pPr>
        <w:jc w:val="both"/>
      </w:pPr>
    </w:p>
    <w:p w14:paraId="7D3E8BFD" w14:textId="77777777" w:rsidR="00A45BCF" w:rsidRDefault="00A45BCF" w:rsidP="00CE24EF">
      <w:pPr>
        <w:jc w:val="both"/>
      </w:pPr>
    </w:p>
    <w:p w14:paraId="4106A64D" w14:textId="77777777" w:rsidR="00A45BCF" w:rsidRDefault="00A45BCF" w:rsidP="00CE24EF">
      <w:pPr>
        <w:jc w:val="both"/>
      </w:pPr>
    </w:p>
    <w:p w14:paraId="642C96F7" w14:textId="77777777" w:rsidR="00A45BCF" w:rsidRDefault="00A45BCF" w:rsidP="00CE24EF">
      <w:pPr>
        <w:jc w:val="both"/>
      </w:pPr>
    </w:p>
    <w:p w14:paraId="5EB3E2E0" w14:textId="77777777" w:rsidR="00A45BCF" w:rsidRDefault="00A45BCF" w:rsidP="00CE24EF">
      <w:pPr>
        <w:jc w:val="both"/>
      </w:pPr>
    </w:p>
    <w:p w14:paraId="25A843A1" w14:textId="77777777" w:rsidR="00A45BCF" w:rsidRDefault="00A45BCF" w:rsidP="00CE24EF">
      <w:pPr>
        <w:jc w:val="both"/>
      </w:pPr>
    </w:p>
    <w:p w14:paraId="391B9903" w14:textId="77777777" w:rsidR="00A45BCF" w:rsidRDefault="00A45BCF" w:rsidP="00CE24EF">
      <w:pPr>
        <w:jc w:val="both"/>
      </w:pPr>
    </w:p>
    <w:p w14:paraId="4474AA13" w14:textId="77777777" w:rsidR="00A45BCF" w:rsidRDefault="00A45BCF" w:rsidP="00CE24EF">
      <w:pPr>
        <w:jc w:val="both"/>
      </w:pPr>
    </w:p>
    <w:p w14:paraId="7BC06A8E" w14:textId="77777777" w:rsidR="00A45BCF" w:rsidRDefault="00A45BCF" w:rsidP="00CE24EF">
      <w:pPr>
        <w:jc w:val="both"/>
      </w:pPr>
    </w:p>
    <w:p w14:paraId="58E8F9E0" w14:textId="77777777" w:rsidR="00A45BCF" w:rsidRDefault="00A45BCF" w:rsidP="00CE24EF">
      <w:pPr>
        <w:jc w:val="both"/>
      </w:pPr>
    </w:p>
    <w:p w14:paraId="73DF57CC" w14:textId="77777777" w:rsidR="00A45BCF" w:rsidRDefault="00A45BCF" w:rsidP="00CE24EF">
      <w:pPr>
        <w:jc w:val="both"/>
      </w:pPr>
    </w:p>
    <w:p w14:paraId="679BE35B" w14:textId="77777777" w:rsidR="00A45BCF" w:rsidRPr="00A45BCF" w:rsidRDefault="00A45BCF" w:rsidP="00A45BCF">
      <w:pPr>
        <w:jc w:val="both"/>
      </w:pPr>
      <w:r w:rsidRPr="00A45BCF">
        <w:rPr>
          <w:b/>
        </w:rPr>
        <w:lastRenderedPageBreak/>
        <w:t>Ergonomía en el entorno laboral: adaptación del puesto de trabajo para el personal sanitario y no sanitario</w:t>
      </w:r>
    </w:p>
    <w:p w14:paraId="626DFF96" w14:textId="77777777" w:rsidR="00A45BCF" w:rsidRPr="00A45BCF" w:rsidRDefault="00A45BCF" w:rsidP="00A45BCF">
      <w:pPr>
        <w:jc w:val="both"/>
        <w:rPr>
          <w:b/>
        </w:rPr>
      </w:pPr>
      <w:r w:rsidRPr="00A45BCF">
        <w:rPr>
          <w:b/>
        </w:rPr>
        <w:t>Introducción</w:t>
      </w:r>
    </w:p>
    <w:p w14:paraId="30F2FC0E" w14:textId="77777777" w:rsidR="00A45BCF" w:rsidRPr="00A45BCF" w:rsidRDefault="00A45BCF" w:rsidP="00A45BCF">
      <w:pPr>
        <w:jc w:val="both"/>
      </w:pPr>
      <w:r w:rsidRPr="00A45BCF">
        <w:t>La ergonomía es la disciplina que estudia la adaptación del trabajo a las características físicas y cognitivas de las personas, con el objetivo de mejorar la seguridad, la salud y el rendimiento laboral. Su aplicación permite diseñar puestos de trabajo que reduzcan el esfuerzo físico, prevengan lesiones y favorezcan el bienestar de los trabajadores.</w:t>
      </w:r>
    </w:p>
    <w:p w14:paraId="74BC6166" w14:textId="77777777" w:rsidR="00A45BCF" w:rsidRPr="00A45BCF" w:rsidRDefault="00A45BCF" w:rsidP="00A45BCF">
      <w:pPr>
        <w:jc w:val="both"/>
      </w:pPr>
      <w:r w:rsidRPr="00A45BCF">
        <w:t>Tanto el personal sanitario como el no sanitario están expuestos a factores de riesgo ergonómico durante el desarrollo de su actividad diaria. En el ámbito sanitario son frecuentes la movilización de pacientes, la permanencia prolongada de pie y la manipulación de equipos. Por su parte, el personal administrativo, de limpieza, mantenimiento, cocina, lavandería o servicios generales realiza tareas repetitivas, manipulación manual de cargas o permanece durante largos periodos sentado o de pie, lo que también incrementa el riesgo de trastornos musculoesqueléticos.</w:t>
      </w:r>
    </w:p>
    <w:p w14:paraId="79F18EB8" w14:textId="77777777" w:rsidR="00A45BCF" w:rsidRPr="00A45BCF" w:rsidRDefault="00A45BCF" w:rsidP="00A45BCF">
      <w:pPr>
        <w:jc w:val="both"/>
      </w:pPr>
      <w:r w:rsidRPr="00A45BCF">
        <w:t>Los trastornos musculoesqueléticos representan una de las principales causas de incapacidad temporal y absentismo laboral en Europa. La aplicación de principios ergonómicos constituye una estrategia preventiva eficaz para disminuir su incidencia y mejorar la calidad de vida de los trabajadores.</w:t>
      </w:r>
    </w:p>
    <w:p w14:paraId="42FD3509" w14:textId="77777777" w:rsidR="00A45BCF" w:rsidRPr="00A45BCF" w:rsidRDefault="00A45BCF" w:rsidP="00A45BCF">
      <w:pPr>
        <w:jc w:val="both"/>
        <w:rPr>
          <w:b/>
        </w:rPr>
      </w:pPr>
      <w:r w:rsidRPr="00A45BCF">
        <w:rPr>
          <w:b/>
        </w:rPr>
        <w:t>Objetivo</w:t>
      </w:r>
    </w:p>
    <w:p w14:paraId="06E86E6B" w14:textId="77777777" w:rsidR="00A45BCF" w:rsidRPr="00A45BCF" w:rsidRDefault="00A45BCF" w:rsidP="00A45BCF">
      <w:pPr>
        <w:jc w:val="both"/>
      </w:pPr>
      <w:r w:rsidRPr="00A45BCF">
        <w:t>Analizar la importancia de la ergonomía en el entorno laboral e identificar las principales medidas preventivas dirigidas al personal sanitario y no sanitario para reducir el riesgo de lesiones musculoesqueléticas.</w:t>
      </w:r>
    </w:p>
    <w:p w14:paraId="1DE0B1AD" w14:textId="77777777" w:rsidR="00A45BCF" w:rsidRPr="00A45BCF" w:rsidRDefault="00A45BCF" w:rsidP="00A45BCF">
      <w:pPr>
        <w:jc w:val="both"/>
        <w:rPr>
          <w:b/>
        </w:rPr>
      </w:pPr>
      <w:r w:rsidRPr="00A45BCF">
        <w:rPr>
          <w:b/>
        </w:rPr>
        <w:t>Material y método</w:t>
      </w:r>
    </w:p>
    <w:p w14:paraId="500CF32B" w14:textId="77777777" w:rsidR="00A45BCF" w:rsidRPr="00A45BCF" w:rsidRDefault="00A45BCF" w:rsidP="00A45BCF">
      <w:pPr>
        <w:jc w:val="both"/>
      </w:pPr>
      <w:r w:rsidRPr="00A45BCF">
        <w:t xml:space="preserve">Se realizó una revisión bibliográfica descriptiva mediante la consulta de artículos científicos, revisiones sistemáticas y documentos técnicos publicados entre 2015 y 2025. Se consultaron las bases de datos PubMed, </w:t>
      </w:r>
      <w:proofErr w:type="spellStart"/>
      <w:r w:rsidRPr="00A45BCF">
        <w:t>Scopus</w:t>
      </w:r>
      <w:proofErr w:type="spellEnd"/>
      <w:r w:rsidRPr="00A45BCF">
        <w:t xml:space="preserve"> y Google Scholar, además de publicaciones del Instituto Nacional de Seguridad y Salud en el Trabajo y de organismos internacionales especializados en salud laboral.</w:t>
      </w:r>
    </w:p>
    <w:p w14:paraId="1BD990BD" w14:textId="77777777" w:rsidR="00A45BCF" w:rsidRPr="00A45BCF" w:rsidRDefault="00A45BCF" w:rsidP="00A45BCF">
      <w:pPr>
        <w:jc w:val="both"/>
      </w:pPr>
      <w:r w:rsidRPr="00A45BCF">
        <w:t>Se seleccionaron estudios relacionados con ergonomía, adaptación del puesto de trabajo, trastornos musculoesqueléticos y prevención de riesgos laborales.</w:t>
      </w:r>
    </w:p>
    <w:p w14:paraId="04926D84" w14:textId="77777777" w:rsidR="00A45BCF" w:rsidRPr="00A45BCF" w:rsidRDefault="00A45BCF" w:rsidP="00A45BCF">
      <w:pPr>
        <w:jc w:val="both"/>
        <w:rPr>
          <w:b/>
        </w:rPr>
      </w:pPr>
      <w:r w:rsidRPr="00A45BCF">
        <w:rPr>
          <w:b/>
        </w:rPr>
        <w:t>Resultados</w:t>
      </w:r>
    </w:p>
    <w:p w14:paraId="0080260B" w14:textId="77777777" w:rsidR="00A45BCF" w:rsidRPr="00A45BCF" w:rsidRDefault="00A45BCF" w:rsidP="00A45BCF">
      <w:pPr>
        <w:jc w:val="both"/>
      </w:pPr>
      <w:r w:rsidRPr="00A45BCF">
        <w:t>La evidencia científica demuestra que la aplicación de medidas ergonómicas reduce la incidencia de lesiones relacionadas con el trabajo, especialmente aquellas que afectan a la espalda, cuello, hombros y extremidades superiores.</w:t>
      </w:r>
    </w:p>
    <w:p w14:paraId="4F40133E" w14:textId="77777777" w:rsidR="00A45BCF" w:rsidRPr="00A45BCF" w:rsidRDefault="00A45BCF" w:rsidP="00A45BCF">
      <w:pPr>
        <w:jc w:val="both"/>
      </w:pPr>
      <w:r w:rsidRPr="00A45BCF">
        <w:lastRenderedPageBreak/>
        <w:t>Entre los principales factores de riesgo identificados destacan la manipulación manual de cargas, los movimientos repetitivos, las posturas mantenidas, los giros del tronco, el uso continuado de pantallas de visualización de datos y la realización de esfuerzos físicos sin ayudas mecánicas.</w:t>
      </w:r>
    </w:p>
    <w:p w14:paraId="682F018C" w14:textId="77777777" w:rsidR="00A45BCF" w:rsidRPr="00A45BCF" w:rsidRDefault="00A45BCF" w:rsidP="00A45BCF">
      <w:pPr>
        <w:jc w:val="both"/>
      </w:pPr>
      <w:r w:rsidRPr="00A45BCF">
        <w:t>Los estudios muestran que la adaptación del mobiliario, la regulación de la altura de mesas y sillas, la correcta colocación de pantallas y teclados, así como el empleo de dispositivos de ayuda para la movilización de cargas o pacientes, disminuyen significativamente la sobrecarga física.</w:t>
      </w:r>
    </w:p>
    <w:p w14:paraId="6E5B3CDC" w14:textId="77777777" w:rsidR="00A45BCF" w:rsidRPr="00A45BCF" w:rsidRDefault="00A45BCF" w:rsidP="00A45BCF">
      <w:pPr>
        <w:jc w:val="both"/>
      </w:pPr>
      <w:r w:rsidRPr="00A45BCF">
        <w:t>Asimismo, la alternancia de tareas, la realización de pausas activas y ejercicios de estiramiento durante la jornada laboral contribuyen a reducir la fatiga muscular y mejorar el confort de los trabajadores.</w:t>
      </w:r>
    </w:p>
    <w:p w14:paraId="3D3ABE6E" w14:textId="77777777" w:rsidR="00A45BCF" w:rsidRPr="00A45BCF" w:rsidRDefault="00A45BCF" w:rsidP="00A45BCF">
      <w:pPr>
        <w:jc w:val="both"/>
      </w:pPr>
      <w:r w:rsidRPr="00A45BCF">
        <w:t>En el ámbito sanitario, la formación en técnicas de movilización segura de pacientes constituye una de las intervenciones preventivas más eficaces. En el personal no sanitario, la organización adecuada del espacio de trabajo y la adopción de posturas correctas durante las tareas administrativas o manuales disminuyen el riesgo de lesiones.</w:t>
      </w:r>
    </w:p>
    <w:p w14:paraId="11A85B34" w14:textId="77777777" w:rsidR="00A45BCF" w:rsidRPr="00A45BCF" w:rsidRDefault="00A45BCF" w:rsidP="00A45BCF">
      <w:pPr>
        <w:jc w:val="both"/>
      </w:pPr>
      <w:r w:rsidRPr="00A45BCF">
        <w:t>La literatura científica también señala que los programas de formación en ergonomía incrementan la percepción del riesgo, favorecen la adopción de hábitos saludables y reducen el absentismo laboral asociado a trastornos musculoesqueléticos.</w:t>
      </w:r>
    </w:p>
    <w:p w14:paraId="02BF9A2F" w14:textId="77777777" w:rsidR="00A45BCF" w:rsidRPr="00A45BCF" w:rsidRDefault="00A45BCF" w:rsidP="00A45BCF">
      <w:pPr>
        <w:jc w:val="both"/>
        <w:rPr>
          <w:b/>
        </w:rPr>
      </w:pPr>
      <w:r w:rsidRPr="00A45BCF">
        <w:rPr>
          <w:b/>
        </w:rPr>
        <w:t>Conclusiones</w:t>
      </w:r>
    </w:p>
    <w:p w14:paraId="0B8AAAB6" w14:textId="77777777" w:rsidR="00A45BCF" w:rsidRPr="00A45BCF" w:rsidRDefault="00A45BCF" w:rsidP="00A45BCF">
      <w:pPr>
        <w:jc w:val="both"/>
      </w:pPr>
      <w:r w:rsidRPr="00A45BCF">
        <w:t>La ergonomía constituye un elemento esencial para la prevención de riesgos laborales y la promoción de la salud en el personal sanitario y no sanitario. La adaptación de los puestos de trabajo a las características de cada trabajador favorece un entorno más seguro, confortable y eficiente.</w:t>
      </w:r>
    </w:p>
    <w:p w14:paraId="61C3ACFC" w14:textId="77777777" w:rsidR="00A45BCF" w:rsidRPr="00A45BCF" w:rsidRDefault="00A45BCF" w:rsidP="00A45BCF">
      <w:pPr>
        <w:jc w:val="both"/>
      </w:pPr>
      <w:r w:rsidRPr="00A45BCF">
        <w:t xml:space="preserve">La implantación de medidas ergonómicas, junto con la formación continuada y la </w:t>
      </w:r>
      <w:proofErr w:type="gramStart"/>
      <w:r w:rsidRPr="00A45BCF">
        <w:t>participación activa</w:t>
      </w:r>
      <w:proofErr w:type="gramEnd"/>
      <w:r w:rsidRPr="00A45BCF">
        <w:t xml:space="preserve"> de los trabajadores, contribuye a disminuir la incidencia de lesiones musculoesqueléticas, mejorar la productividad y aumentar la satisfacción laboral.</w:t>
      </w:r>
    </w:p>
    <w:p w14:paraId="2AD0181B" w14:textId="77777777" w:rsidR="00A45BCF" w:rsidRPr="00A45BCF" w:rsidRDefault="00A45BCF" w:rsidP="00A45BCF">
      <w:pPr>
        <w:jc w:val="both"/>
      </w:pPr>
      <w:r w:rsidRPr="00A45BCF">
        <w:t>Las organizaciones deben incorporar la ergonomía como una estrategia preventiva prioritaria, promoviendo entornos de trabajo saludables que protejan la salud física de sus profesionales y favorezcan una atención y unos servicios de mayor calidad.</w:t>
      </w:r>
    </w:p>
    <w:p w14:paraId="0C3982D4" w14:textId="77777777" w:rsidR="00A45BCF" w:rsidRPr="00A45BCF" w:rsidRDefault="00A45BCF" w:rsidP="00A45BCF">
      <w:pPr>
        <w:jc w:val="both"/>
        <w:rPr>
          <w:b/>
        </w:rPr>
      </w:pPr>
      <w:r w:rsidRPr="00A45BCF">
        <w:rPr>
          <w:b/>
        </w:rPr>
        <w:t>Bibliografía</w:t>
      </w:r>
    </w:p>
    <w:p w14:paraId="155CA947" w14:textId="77777777" w:rsidR="00A45BCF" w:rsidRPr="00A45BCF" w:rsidRDefault="00A45BCF" w:rsidP="00A45BCF">
      <w:pPr>
        <w:numPr>
          <w:ilvl w:val="0"/>
          <w:numId w:val="33"/>
        </w:numPr>
        <w:jc w:val="both"/>
      </w:pPr>
      <w:r w:rsidRPr="00A45BCF">
        <w:t>Instituto Nacional de Seguridad y Salud en el Trabajo. (2024). *Ergonomía y prevención de trastornos musculoesqueléticos*.</w:t>
      </w:r>
    </w:p>
    <w:p w14:paraId="1ED6CD5B" w14:textId="77777777" w:rsidR="00A45BCF" w:rsidRPr="00A45BCF" w:rsidRDefault="00A45BCF" w:rsidP="00A45BCF">
      <w:pPr>
        <w:numPr>
          <w:ilvl w:val="0"/>
          <w:numId w:val="33"/>
        </w:numPr>
        <w:jc w:val="both"/>
        <w:rPr>
          <w:lang w:val="en-GB"/>
        </w:rPr>
      </w:pPr>
      <w:r w:rsidRPr="00A45BCF">
        <w:lastRenderedPageBreak/>
        <w:t xml:space="preserve">Agencia Europea para la Seguridad y la Salud en el Trabajo. </w:t>
      </w:r>
      <w:r w:rsidRPr="00A45BCF">
        <w:rPr>
          <w:lang w:val="en-GB"/>
        </w:rPr>
        <w:t>(2023). *Work-related Musculoskeletal Disorders: Prevention Report*.</w:t>
      </w:r>
    </w:p>
    <w:p w14:paraId="3190D741" w14:textId="77777777" w:rsidR="00A45BCF" w:rsidRPr="00A45BCF" w:rsidRDefault="00A45BCF" w:rsidP="00A45BCF">
      <w:pPr>
        <w:numPr>
          <w:ilvl w:val="0"/>
          <w:numId w:val="33"/>
        </w:numPr>
        <w:jc w:val="both"/>
        <w:rPr>
          <w:lang w:val="en-GB"/>
        </w:rPr>
      </w:pPr>
      <w:r w:rsidRPr="00A45BCF">
        <w:rPr>
          <w:lang w:val="en-GB"/>
        </w:rPr>
        <w:t xml:space="preserve">Organización Internacional del </w:t>
      </w:r>
      <w:proofErr w:type="spellStart"/>
      <w:r w:rsidRPr="00A45BCF">
        <w:rPr>
          <w:lang w:val="en-GB"/>
        </w:rPr>
        <w:t>Trabajo</w:t>
      </w:r>
      <w:proofErr w:type="spellEnd"/>
      <w:r w:rsidRPr="00A45BCF">
        <w:rPr>
          <w:lang w:val="en-GB"/>
        </w:rPr>
        <w:t>. (2022). *Ergonomics Checkpoints: Practical Solutions for Improving Safety, Health and Working Conditions*.</w:t>
      </w:r>
    </w:p>
    <w:p w14:paraId="1C9E9F20" w14:textId="77777777" w:rsidR="00A45BCF" w:rsidRPr="00A45BCF" w:rsidRDefault="00A45BCF" w:rsidP="00A45BCF">
      <w:pPr>
        <w:numPr>
          <w:ilvl w:val="0"/>
          <w:numId w:val="33"/>
        </w:numPr>
        <w:jc w:val="both"/>
      </w:pPr>
      <w:r w:rsidRPr="00A45BCF">
        <w:rPr>
          <w:lang w:val="en-GB"/>
        </w:rPr>
        <w:t xml:space="preserve">Marras, W. S. (2018). *The Working Back: A Systems View*. </w:t>
      </w:r>
      <w:r w:rsidRPr="00A45BCF">
        <w:t>John Wiley &amp; Sons.</w:t>
      </w:r>
    </w:p>
    <w:p w14:paraId="0C4B3F2F" w14:textId="77777777" w:rsidR="00A45BCF" w:rsidRPr="00A45BCF" w:rsidRDefault="00A45BCF" w:rsidP="00A45BCF">
      <w:pPr>
        <w:numPr>
          <w:ilvl w:val="0"/>
          <w:numId w:val="33"/>
        </w:numPr>
        <w:jc w:val="both"/>
      </w:pPr>
      <w:r w:rsidRPr="00A45BCF">
        <w:rPr>
          <w:lang w:val="en-GB"/>
        </w:rPr>
        <w:t xml:space="preserve">Karwowski, W. (2021). *International </w:t>
      </w:r>
      <w:proofErr w:type="spellStart"/>
      <w:r w:rsidRPr="00A45BCF">
        <w:rPr>
          <w:lang w:val="en-GB"/>
        </w:rPr>
        <w:t>Encyclopedia</w:t>
      </w:r>
      <w:proofErr w:type="spellEnd"/>
      <w:r w:rsidRPr="00A45BCF">
        <w:rPr>
          <w:lang w:val="en-GB"/>
        </w:rPr>
        <w:t xml:space="preserve"> of Ergonomics and Human Factors*. </w:t>
      </w:r>
      <w:r w:rsidRPr="00A45BCF">
        <w:t>CRC Press.</w:t>
      </w:r>
    </w:p>
    <w:p w14:paraId="36CAB7D9" w14:textId="77777777" w:rsidR="00A45BCF" w:rsidRDefault="00A45BCF" w:rsidP="00CE24EF">
      <w:pPr>
        <w:jc w:val="both"/>
      </w:pPr>
    </w:p>
    <w:p w14:paraId="2E970B52" w14:textId="77777777" w:rsidR="00A45BCF" w:rsidRDefault="00A45BCF" w:rsidP="00CE24EF">
      <w:pPr>
        <w:jc w:val="both"/>
      </w:pPr>
    </w:p>
    <w:p w14:paraId="7A54D5FC" w14:textId="77777777" w:rsidR="00A45BCF" w:rsidRDefault="00A45BCF" w:rsidP="00CE24EF">
      <w:pPr>
        <w:jc w:val="both"/>
      </w:pPr>
    </w:p>
    <w:p w14:paraId="1F4EA127" w14:textId="77777777" w:rsidR="00A45BCF" w:rsidRDefault="00A45BCF" w:rsidP="00CE24EF">
      <w:pPr>
        <w:jc w:val="both"/>
      </w:pPr>
    </w:p>
    <w:p w14:paraId="756D6D76" w14:textId="77777777" w:rsidR="00A45BCF" w:rsidRDefault="00A45BCF" w:rsidP="00CE24EF">
      <w:pPr>
        <w:jc w:val="both"/>
      </w:pPr>
    </w:p>
    <w:p w14:paraId="4E8ABAA3" w14:textId="77777777" w:rsidR="00A45BCF" w:rsidRDefault="00A45BCF" w:rsidP="00CE24EF">
      <w:pPr>
        <w:jc w:val="both"/>
      </w:pPr>
    </w:p>
    <w:p w14:paraId="5F8F5229" w14:textId="77777777" w:rsidR="00A45BCF" w:rsidRDefault="00A45BCF" w:rsidP="00CE24EF">
      <w:pPr>
        <w:jc w:val="both"/>
      </w:pPr>
    </w:p>
    <w:p w14:paraId="49DA0EB1" w14:textId="77777777" w:rsidR="00A45BCF" w:rsidRDefault="00A45BCF" w:rsidP="00CE24EF">
      <w:pPr>
        <w:jc w:val="both"/>
      </w:pPr>
    </w:p>
    <w:p w14:paraId="392B6BC5" w14:textId="77777777" w:rsidR="00A45BCF" w:rsidRDefault="00A45BCF" w:rsidP="00CE24EF">
      <w:pPr>
        <w:jc w:val="both"/>
      </w:pPr>
    </w:p>
    <w:p w14:paraId="0A51E637" w14:textId="77777777" w:rsidR="00A45BCF" w:rsidRDefault="00A45BCF" w:rsidP="00CE24EF">
      <w:pPr>
        <w:jc w:val="both"/>
      </w:pPr>
    </w:p>
    <w:p w14:paraId="38733EFD" w14:textId="77777777" w:rsidR="00A45BCF" w:rsidRDefault="00A45BCF" w:rsidP="00CE24EF">
      <w:pPr>
        <w:jc w:val="both"/>
      </w:pPr>
    </w:p>
    <w:p w14:paraId="2BE2D50D" w14:textId="77777777" w:rsidR="00A45BCF" w:rsidRDefault="00A45BCF" w:rsidP="00CE24EF">
      <w:pPr>
        <w:jc w:val="both"/>
      </w:pPr>
    </w:p>
    <w:p w14:paraId="77503410" w14:textId="77777777" w:rsidR="00A45BCF" w:rsidRDefault="00A45BCF" w:rsidP="00CE24EF">
      <w:pPr>
        <w:jc w:val="both"/>
      </w:pPr>
    </w:p>
    <w:p w14:paraId="66438E82" w14:textId="77777777" w:rsidR="00A45BCF" w:rsidRDefault="00A45BCF" w:rsidP="00CE24EF">
      <w:pPr>
        <w:jc w:val="both"/>
      </w:pPr>
    </w:p>
    <w:p w14:paraId="64D01D59" w14:textId="77777777" w:rsidR="00A45BCF" w:rsidRDefault="00A45BCF" w:rsidP="00CE24EF">
      <w:pPr>
        <w:jc w:val="both"/>
      </w:pPr>
    </w:p>
    <w:p w14:paraId="47EDEE7E" w14:textId="77777777" w:rsidR="00A45BCF" w:rsidRDefault="00A45BCF" w:rsidP="00CE24EF">
      <w:pPr>
        <w:jc w:val="both"/>
      </w:pPr>
    </w:p>
    <w:p w14:paraId="5D6C62CE" w14:textId="77777777" w:rsidR="00A45BCF" w:rsidRDefault="00A45BCF" w:rsidP="00CE24EF">
      <w:pPr>
        <w:jc w:val="both"/>
      </w:pPr>
    </w:p>
    <w:p w14:paraId="74B45E0B" w14:textId="77777777" w:rsidR="00A45BCF" w:rsidRDefault="00A45BCF" w:rsidP="00CE24EF">
      <w:pPr>
        <w:jc w:val="both"/>
      </w:pPr>
    </w:p>
    <w:p w14:paraId="04F5618F" w14:textId="77777777" w:rsidR="00A45BCF" w:rsidRDefault="00A45BCF" w:rsidP="00CE24EF">
      <w:pPr>
        <w:jc w:val="both"/>
      </w:pPr>
    </w:p>
    <w:p w14:paraId="71288A5D" w14:textId="77777777" w:rsidR="00A45BCF" w:rsidRDefault="00A45BCF" w:rsidP="00CE24EF">
      <w:pPr>
        <w:jc w:val="both"/>
      </w:pPr>
    </w:p>
    <w:p w14:paraId="3114BE1C" w14:textId="77777777" w:rsidR="00A45BCF" w:rsidRDefault="00A45BCF" w:rsidP="00CE24EF">
      <w:pPr>
        <w:jc w:val="both"/>
      </w:pPr>
    </w:p>
    <w:p w14:paraId="5817AD8B" w14:textId="77777777" w:rsidR="00A45BCF" w:rsidRPr="00A45BCF" w:rsidRDefault="00A45BCF" w:rsidP="00A45BCF">
      <w:pPr>
        <w:jc w:val="both"/>
      </w:pPr>
      <w:r w:rsidRPr="00A45BCF">
        <w:rPr>
          <w:b/>
        </w:rPr>
        <w:lastRenderedPageBreak/>
        <w:t>La cultura preventiva como herramienta para mejorar la seguridad del personal sanitario y no sanitario</w:t>
      </w:r>
    </w:p>
    <w:p w14:paraId="1F69975F" w14:textId="77777777" w:rsidR="00A45BCF" w:rsidRPr="00A45BCF" w:rsidRDefault="00A45BCF" w:rsidP="00A45BCF">
      <w:pPr>
        <w:jc w:val="both"/>
        <w:rPr>
          <w:b/>
        </w:rPr>
      </w:pPr>
      <w:r w:rsidRPr="00A45BCF">
        <w:rPr>
          <w:b/>
        </w:rPr>
        <w:t>Introducción</w:t>
      </w:r>
    </w:p>
    <w:p w14:paraId="30E0E43D" w14:textId="77777777" w:rsidR="00A45BCF" w:rsidRPr="00A45BCF" w:rsidRDefault="00A45BCF" w:rsidP="00A45BCF">
      <w:pPr>
        <w:jc w:val="both"/>
      </w:pPr>
      <w:r w:rsidRPr="00A45BCF">
        <w:t xml:space="preserve">La prevención de riesgos laborales constituye un componente esencial para garantizar la seguridad y la salud de los trabajadores en cualquier organización. Más allá del cumplimiento de la normativa, la implantación de una cultura preventiva permite integrar la seguridad en todas las actividades laborales, favoreciendo la </w:t>
      </w:r>
      <w:proofErr w:type="gramStart"/>
      <w:r w:rsidRPr="00A45BCF">
        <w:t>participación activa</w:t>
      </w:r>
      <w:proofErr w:type="gramEnd"/>
      <w:r w:rsidRPr="00A45BCF">
        <w:t xml:space="preserve"> de los profesionales y la mejora continua de las condiciones de trabajo.</w:t>
      </w:r>
    </w:p>
    <w:p w14:paraId="3EA0D200" w14:textId="77777777" w:rsidR="00A45BCF" w:rsidRPr="00A45BCF" w:rsidRDefault="00A45BCF" w:rsidP="00A45BCF">
      <w:pPr>
        <w:jc w:val="both"/>
      </w:pPr>
      <w:r w:rsidRPr="00A45BCF">
        <w:t>El personal sanitario y el no sanitario desarrollan su actividad en entornos donde pueden coexistir riesgos biológicos, químicos, físicos, ergonómicos y psicosociales. La exposición a estos factores hace imprescindible la adopción de medidas preventivas orientadas a minimizar la probabilidad de accidentes y enfermedades profesionales.</w:t>
      </w:r>
    </w:p>
    <w:p w14:paraId="3AA51BAC" w14:textId="77777777" w:rsidR="00A45BCF" w:rsidRPr="00A45BCF" w:rsidRDefault="00A45BCF" w:rsidP="00A45BCF">
      <w:pPr>
        <w:jc w:val="both"/>
      </w:pPr>
      <w:r w:rsidRPr="00A45BCF">
        <w:t>La creación de una cultura preventiva implica que todos los trabajadores, independientemente de su categoría profesional, conozcan los riesgos asociados a su puesto, participen en la identificación de peligros y apliquen las medidas de seguridad establecidas. Este enfoque favorece la responsabilidad compartida y contribuye a generar entornos laborales más seguros.</w:t>
      </w:r>
    </w:p>
    <w:p w14:paraId="6B236EDF" w14:textId="77777777" w:rsidR="00A45BCF" w:rsidRPr="00A45BCF" w:rsidRDefault="00A45BCF" w:rsidP="00A45BCF">
      <w:pPr>
        <w:jc w:val="both"/>
        <w:rPr>
          <w:b/>
        </w:rPr>
      </w:pPr>
      <w:r w:rsidRPr="00A45BCF">
        <w:rPr>
          <w:b/>
        </w:rPr>
        <w:t>Objetivo</w:t>
      </w:r>
    </w:p>
    <w:p w14:paraId="4961559A" w14:textId="77777777" w:rsidR="00A45BCF" w:rsidRPr="00A45BCF" w:rsidRDefault="00A45BCF" w:rsidP="00A45BCF">
      <w:pPr>
        <w:jc w:val="both"/>
      </w:pPr>
      <w:r w:rsidRPr="00A45BCF">
        <w:t>Analizar la importancia de la cultura preventiva en la prevención de riesgos laborales y describir las principales estrategias para promover la seguridad y la salud del personal sanitario y no sanitario.</w:t>
      </w:r>
    </w:p>
    <w:p w14:paraId="361DC0B3" w14:textId="77777777" w:rsidR="00A45BCF" w:rsidRPr="00A45BCF" w:rsidRDefault="00A45BCF" w:rsidP="00A45BCF">
      <w:pPr>
        <w:jc w:val="both"/>
        <w:rPr>
          <w:b/>
        </w:rPr>
      </w:pPr>
      <w:r w:rsidRPr="00A45BCF">
        <w:rPr>
          <w:b/>
        </w:rPr>
        <w:t>Material y método</w:t>
      </w:r>
    </w:p>
    <w:p w14:paraId="2E765F02" w14:textId="77777777" w:rsidR="00A45BCF" w:rsidRPr="00A45BCF" w:rsidRDefault="00A45BCF" w:rsidP="00A45BCF">
      <w:pPr>
        <w:jc w:val="both"/>
      </w:pPr>
      <w:r w:rsidRPr="00A45BCF">
        <w:t xml:space="preserve">Se realizó una revisión bibliográfica descriptiva mediante la consulta de artículos científicos, documentos técnicos y guías de buenas prácticas publicados entre 2015 y 2025. Las fuentes consultadas incluyeron PubMed, </w:t>
      </w:r>
      <w:proofErr w:type="spellStart"/>
      <w:r w:rsidRPr="00A45BCF">
        <w:t>Scopus</w:t>
      </w:r>
      <w:proofErr w:type="spellEnd"/>
      <w:r w:rsidRPr="00A45BCF">
        <w:t>, Google Scholar y publicaciones del Instituto Nacional de Seguridad y Salud en el Trabajo, la Organización Internacional del Trabajo y la Agencia Europea para la Seguridad y la Salud en el Trabajo.</w:t>
      </w:r>
    </w:p>
    <w:p w14:paraId="0E278A40" w14:textId="77777777" w:rsidR="00A45BCF" w:rsidRPr="00A45BCF" w:rsidRDefault="00A45BCF" w:rsidP="00A45BCF">
      <w:pPr>
        <w:jc w:val="both"/>
      </w:pPr>
      <w:r w:rsidRPr="00A45BCF">
        <w:t>Se seleccionaron estudios relacionados con cultura preventiva, participación de los trabajadores, seguridad laboral y promoción de la salud en el trabajo.</w:t>
      </w:r>
    </w:p>
    <w:p w14:paraId="1DEF6769" w14:textId="77777777" w:rsidR="00A45BCF" w:rsidRPr="00A45BCF" w:rsidRDefault="00A45BCF" w:rsidP="00A45BCF">
      <w:pPr>
        <w:jc w:val="both"/>
        <w:rPr>
          <w:b/>
        </w:rPr>
      </w:pPr>
      <w:r w:rsidRPr="00A45BCF">
        <w:rPr>
          <w:b/>
        </w:rPr>
        <w:t>Resultados</w:t>
      </w:r>
    </w:p>
    <w:p w14:paraId="045ED66E" w14:textId="77777777" w:rsidR="00A45BCF" w:rsidRPr="00A45BCF" w:rsidRDefault="00A45BCF" w:rsidP="00A45BCF">
      <w:pPr>
        <w:jc w:val="both"/>
      </w:pPr>
      <w:r w:rsidRPr="00A45BCF">
        <w:t xml:space="preserve">La evidencia científica demuestra que las organizaciones con una cultura preventiva consolidada presentan menores índices de accidentes laborales y una </w:t>
      </w:r>
      <w:r w:rsidRPr="00A45BCF">
        <w:lastRenderedPageBreak/>
        <w:t>mayor implicación de los trabajadores en las actividades relacionadas con la seguridad.</w:t>
      </w:r>
    </w:p>
    <w:p w14:paraId="4554DEAD" w14:textId="77777777" w:rsidR="00A45BCF" w:rsidRPr="00A45BCF" w:rsidRDefault="00A45BCF" w:rsidP="00A45BCF">
      <w:pPr>
        <w:jc w:val="both"/>
      </w:pPr>
      <w:r w:rsidRPr="00A45BCF">
        <w:t>Los estudios destacan que la formación inicial y continuada constituye uno de los pilares fundamentales de la prevención. Los profesionales que reciben información periódica sobre los riesgos de su puesto identifican con mayor facilidad situaciones peligrosas y aplican correctamente las medidas preventivas.</w:t>
      </w:r>
    </w:p>
    <w:p w14:paraId="63EF6CD6" w14:textId="77777777" w:rsidR="00A45BCF" w:rsidRPr="00A45BCF" w:rsidRDefault="00A45BCF" w:rsidP="00A45BCF">
      <w:pPr>
        <w:jc w:val="both"/>
      </w:pPr>
      <w:r w:rsidRPr="00A45BCF">
        <w:t xml:space="preserve">Otro aspecto relevante es la comunicación interna. La existencia de canales para informar sobre incidentes, riesgos detectados o propuestas de mejora favorece la identificación precoz de problemas y la implantación de soluciones eficaces. Del mismo modo, la </w:t>
      </w:r>
      <w:proofErr w:type="gramStart"/>
      <w:r w:rsidRPr="00A45BCF">
        <w:t>participación activa</w:t>
      </w:r>
      <w:proofErr w:type="gramEnd"/>
      <w:r w:rsidRPr="00A45BCF">
        <w:t xml:space="preserve"> de los trabajadores en las evaluaciones de riesgos incrementa el compromiso con la seguridad.</w:t>
      </w:r>
    </w:p>
    <w:p w14:paraId="732F2D59" w14:textId="77777777" w:rsidR="00A45BCF" w:rsidRPr="00A45BCF" w:rsidRDefault="00A45BCF" w:rsidP="00A45BCF">
      <w:pPr>
        <w:jc w:val="both"/>
      </w:pPr>
      <w:r w:rsidRPr="00A45BCF">
        <w:t>La revisión también pone de manifiesto la importancia del uso correcto de los equipos de protección individual, del mantenimiento preventivo de instalaciones y equipos, y del cumplimiento de los procedimientos de trabajo seguros. Estas actuaciones reducen la exposición a riesgos biológicos, químicos, físicos y mecánicos presentes tanto en áreas asistenciales como en servicios administrativos, de limpieza, mantenimiento, cocina o lavandería.</w:t>
      </w:r>
    </w:p>
    <w:p w14:paraId="73EBA6D7" w14:textId="77777777" w:rsidR="00A45BCF" w:rsidRPr="00A45BCF" w:rsidRDefault="00A45BCF" w:rsidP="00A45BCF">
      <w:pPr>
        <w:jc w:val="both"/>
      </w:pPr>
      <w:r w:rsidRPr="00A45BCF">
        <w:t>Asimismo, los estudios señalan que la promoción de hábitos saludables, el apoyo al bienestar psicológico y la prevención de los riesgos psicosociales complementan las medidas tradicionales de seguridad, contribuyendo a una protección integral de la salud laboral.</w:t>
      </w:r>
    </w:p>
    <w:p w14:paraId="326C7B85" w14:textId="77777777" w:rsidR="00A45BCF" w:rsidRPr="00A45BCF" w:rsidRDefault="00A45BCF" w:rsidP="00A45BCF">
      <w:pPr>
        <w:jc w:val="both"/>
        <w:rPr>
          <w:b/>
        </w:rPr>
      </w:pPr>
      <w:r w:rsidRPr="00A45BCF">
        <w:rPr>
          <w:b/>
        </w:rPr>
        <w:t>Conclusiones</w:t>
      </w:r>
    </w:p>
    <w:p w14:paraId="06CB6913" w14:textId="77777777" w:rsidR="00A45BCF" w:rsidRPr="00A45BCF" w:rsidRDefault="00A45BCF" w:rsidP="00A45BCF">
      <w:pPr>
        <w:jc w:val="both"/>
      </w:pPr>
      <w:r w:rsidRPr="00A45BCF">
        <w:t>La prevención de riesgos laborales debe entenderse como un compromiso compartido entre las organizaciones y los trabajadores. El desarrollo de una cultura preventiva favorece la identificación temprana de los riesgos, mejora el cumplimiento de las medidas de seguridad y disminuye la incidencia de accidentes y enfermedades profesionales.</w:t>
      </w:r>
    </w:p>
    <w:p w14:paraId="448AA384" w14:textId="77777777" w:rsidR="00A45BCF" w:rsidRPr="00A45BCF" w:rsidRDefault="00A45BCF" w:rsidP="00A45BCF">
      <w:pPr>
        <w:jc w:val="both"/>
      </w:pPr>
      <w:r w:rsidRPr="00A45BCF">
        <w:t>La formación continua, la comunicación efectiva, la participación de los trabajadores y la mejora permanente de las condiciones laborales constituyen elementos esenciales para garantizar entornos de trabajo seguros tanto para el personal sanitario como para el no sanitario.</w:t>
      </w:r>
    </w:p>
    <w:p w14:paraId="15AFDFD7" w14:textId="77777777" w:rsidR="00A45BCF" w:rsidRPr="00A45BCF" w:rsidRDefault="00A45BCF" w:rsidP="00A45BCF">
      <w:pPr>
        <w:jc w:val="both"/>
      </w:pPr>
      <w:r w:rsidRPr="00A45BCF">
        <w:t>Invertir en prevención no solo protege la salud de los profesionales, sino que también mejora la calidad de los servicios, incrementa la eficiencia organizativa y fortalece el compromiso con la seguridad y el bienestar de todas las personas.</w:t>
      </w:r>
    </w:p>
    <w:p w14:paraId="172AE944" w14:textId="77777777" w:rsidR="00A45BCF" w:rsidRPr="00A45BCF" w:rsidRDefault="00A45BCF" w:rsidP="00A45BCF">
      <w:pPr>
        <w:jc w:val="both"/>
        <w:rPr>
          <w:b/>
        </w:rPr>
      </w:pPr>
      <w:r w:rsidRPr="00A45BCF">
        <w:rPr>
          <w:b/>
        </w:rPr>
        <w:t>Bibliografía</w:t>
      </w:r>
    </w:p>
    <w:p w14:paraId="644384FB" w14:textId="77777777" w:rsidR="00A45BCF" w:rsidRPr="00A45BCF" w:rsidRDefault="00A45BCF" w:rsidP="00A45BCF">
      <w:pPr>
        <w:numPr>
          <w:ilvl w:val="0"/>
          <w:numId w:val="34"/>
        </w:numPr>
        <w:jc w:val="both"/>
      </w:pPr>
      <w:r w:rsidRPr="00A45BCF">
        <w:lastRenderedPageBreak/>
        <w:t>Instituto Nacional de Seguridad y Salud en el Trabajo. (2024). *Gestión de la prevención de riesgos laborales*.</w:t>
      </w:r>
    </w:p>
    <w:p w14:paraId="0D5182A1" w14:textId="77777777" w:rsidR="00A45BCF" w:rsidRPr="00A45BCF" w:rsidRDefault="00A45BCF" w:rsidP="00A45BCF">
      <w:pPr>
        <w:numPr>
          <w:ilvl w:val="0"/>
          <w:numId w:val="34"/>
        </w:numPr>
        <w:jc w:val="both"/>
        <w:rPr>
          <w:lang w:val="en-GB"/>
        </w:rPr>
      </w:pPr>
      <w:r w:rsidRPr="00A45BCF">
        <w:rPr>
          <w:lang w:val="en-GB"/>
        </w:rPr>
        <w:t xml:space="preserve">Organización Internacional del </w:t>
      </w:r>
      <w:proofErr w:type="spellStart"/>
      <w:r w:rsidRPr="00A45BCF">
        <w:rPr>
          <w:lang w:val="en-GB"/>
        </w:rPr>
        <w:t>Trabajo</w:t>
      </w:r>
      <w:proofErr w:type="spellEnd"/>
      <w:r w:rsidRPr="00A45BCF">
        <w:rPr>
          <w:lang w:val="en-GB"/>
        </w:rPr>
        <w:t>. (2023). *Safety and Health at the Heart of the Future of Work*.</w:t>
      </w:r>
    </w:p>
    <w:p w14:paraId="0B0D0E1E" w14:textId="77777777" w:rsidR="00A45BCF" w:rsidRPr="00A45BCF" w:rsidRDefault="00A45BCF" w:rsidP="00A45BCF">
      <w:pPr>
        <w:numPr>
          <w:ilvl w:val="0"/>
          <w:numId w:val="34"/>
        </w:numPr>
        <w:jc w:val="both"/>
      </w:pPr>
      <w:r w:rsidRPr="00A45BCF">
        <w:t>Agencia Europea para la Seguridad y la Salud en el Trabajo. (2023). *</w:t>
      </w:r>
      <w:proofErr w:type="spellStart"/>
      <w:r w:rsidRPr="00A45BCF">
        <w:t>Healthy</w:t>
      </w:r>
      <w:proofErr w:type="spellEnd"/>
      <w:r w:rsidRPr="00A45BCF">
        <w:t xml:space="preserve"> </w:t>
      </w:r>
      <w:proofErr w:type="spellStart"/>
      <w:r w:rsidRPr="00A45BCF">
        <w:t>Workplaces</w:t>
      </w:r>
      <w:proofErr w:type="spellEnd"/>
      <w:r w:rsidRPr="00A45BCF">
        <w:t xml:space="preserve"> </w:t>
      </w:r>
      <w:proofErr w:type="spellStart"/>
      <w:r w:rsidRPr="00A45BCF">
        <w:t>Campaign</w:t>
      </w:r>
      <w:proofErr w:type="spellEnd"/>
      <w:r w:rsidRPr="00A45BCF">
        <w:t>*.</w:t>
      </w:r>
    </w:p>
    <w:p w14:paraId="0EE34E26" w14:textId="77777777" w:rsidR="00A45BCF" w:rsidRPr="00A45BCF" w:rsidRDefault="00A45BCF" w:rsidP="00A45BCF">
      <w:pPr>
        <w:numPr>
          <w:ilvl w:val="0"/>
          <w:numId w:val="34"/>
        </w:numPr>
        <w:jc w:val="both"/>
      </w:pPr>
      <w:r w:rsidRPr="00A45BCF">
        <w:t>Ministerio de Trabajo y Economía Social. (1995). *Ley 31/1995, de 8 de noviembre, de Prevención de Riesgos Laborales*.</w:t>
      </w:r>
    </w:p>
    <w:p w14:paraId="4139B297" w14:textId="77777777" w:rsidR="00A45BCF" w:rsidRPr="00A45BCF" w:rsidRDefault="00A45BCF" w:rsidP="00A45BCF">
      <w:pPr>
        <w:numPr>
          <w:ilvl w:val="0"/>
          <w:numId w:val="34"/>
        </w:numPr>
        <w:jc w:val="both"/>
      </w:pPr>
      <w:r w:rsidRPr="00A45BCF">
        <w:rPr>
          <w:lang w:val="en-GB"/>
        </w:rPr>
        <w:t xml:space="preserve">Reason, J. (2016). *Managing the Risks of Organizational Accidents*. </w:t>
      </w:r>
      <w:r w:rsidRPr="00A45BCF">
        <w:t>Routledge.</w:t>
      </w:r>
    </w:p>
    <w:p w14:paraId="0F7C9DF8" w14:textId="77777777" w:rsidR="00A45BCF" w:rsidRDefault="00A45BCF" w:rsidP="00CE24EF">
      <w:pPr>
        <w:jc w:val="both"/>
      </w:pPr>
    </w:p>
    <w:p w14:paraId="4A65AA7B" w14:textId="77777777" w:rsidR="00A45BCF" w:rsidRDefault="00A45BCF" w:rsidP="00CE24EF">
      <w:pPr>
        <w:jc w:val="both"/>
      </w:pPr>
    </w:p>
    <w:p w14:paraId="69687E01" w14:textId="77777777" w:rsidR="00A45BCF" w:rsidRDefault="00A45BCF" w:rsidP="00CE24EF">
      <w:pPr>
        <w:jc w:val="both"/>
      </w:pPr>
    </w:p>
    <w:p w14:paraId="49233070" w14:textId="77777777" w:rsidR="00A45BCF" w:rsidRDefault="00A45BCF" w:rsidP="00CE24EF">
      <w:pPr>
        <w:jc w:val="both"/>
      </w:pPr>
    </w:p>
    <w:p w14:paraId="13AB0394" w14:textId="77777777" w:rsidR="00A45BCF" w:rsidRDefault="00A45BCF" w:rsidP="00CE24EF">
      <w:pPr>
        <w:jc w:val="both"/>
      </w:pPr>
    </w:p>
    <w:p w14:paraId="14286E40" w14:textId="77777777" w:rsidR="00A45BCF" w:rsidRDefault="00A45BCF" w:rsidP="00CE24EF">
      <w:pPr>
        <w:jc w:val="both"/>
      </w:pPr>
    </w:p>
    <w:p w14:paraId="0076EE24" w14:textId="77777777" w:rsidR="00A45BCF" w:rsidRDefault="00A45BCF" w:rsidP="00CE24EF">
      <w:pPr>
        <w:jc w:val="both"/>
      </w:pPr>
    </w:p>
    <w:p w14:paraId="5FBD13D7" w14:textId="77777777" w:rsidR="00A45BCF" w:rsidRDefault="00A45BCF" w:rsidP="00CE24EF">
      <w:pPr>
        <w:jc w:val="both"/>
      </w:pPr>
    </w:p>
    <w:p w14:paraId="1D880B72" w14:textId="77777777" w:rsidR="00A45BCF" w:rsidRDefault="00A45BCF" w:rsidP="00CE24EF">
      <w:pPr>
        <w:jc w:val="both"/>
      </w:pPr>
    </w:p>
    <w:p w14:paraId="39439D99" w14:textId="77777777" w:rsidR="00A45BCF" w:rsidRDefault="00A45BCF" w:rsidP="00CE24EF">
      <w:pPr>
        <w:jc w:val="both"/>
      </w:pPr>
    </w:p>
    <w:p w14:paraId="4BB3C4C0" w14:textId="77777777" w:rsidR="00A45BCF" w:rsidRDefault="00A45BCF" w:rsidP="00CE24EF">
      <w:pPr>
        <w:jc w:val="both"/>
      </w:pPr>
    </w:p>
    <w:p w14:paraId="0A1420C6" w14:textId="77777777" w:rsidR="00A45BCF" w:rsidRDefault="00A45BCF" w:rsidP="00CE24EF">
      <w:pPr>
        <w:jc w:val="both"/>
      </w:pPr>
    </w:p>
    <w:p w14:paraId="690DCA31" w14:textId="77777777" w:rsidR="00A45BCF" w:rsidRDefault="00A45BCF" w:rsidP="00CE24EF">
      <w:pPr>
        <w:jc w:val="both"/>
      </w:pPr>
    </w:p>
    <w:p w14:paraId="55291909" w14:textId="77777777" w:rsidR="00A45BCF" w:rsidRDefault="00A45BCF" w:rsidP="00CE24EF">
      <w:pPr>
        <w:jc w:val="both"/>
      </w:pPr>
    </w:p>
    <w:p w14:paraId="691A4E19" w14:textId="77777777" w:rsidR="00A45BCF" w:rsidRDefault="00A45BCF" w:rsidP="00CE24EF">
      <w:pPr>
        <w:jc w:val="both"/>
      </w:pPr>
    </w:p>
    <w:p w14:paraId="0BA292C9" w14:textId="77777777" w:rsidR="00A45BCF" w:rsidRDefault="00A45BCF" w:rsidP="00CE24EF">
      <w:pPr>
        <w:jc w:val="both"/>
      </w:pPr>
    </w:p>
    <w:p w14:paraId="6E456368" w14:textId="77777777" w:rsidR="00A45BCF" w:rsidRDefault="00A45BCF" w:rsidP="00CE24EF">
      <w:pPr>
        <w:jc w:val="both"/>
      </w:pPr>
    </w:p>
    <w:p w14:paraId="5AE61817" w14:textId="77777777" w:rsidR="00A45BCF" w:rsidRDefault="00A45BCF" w:rsidP="00CE24EF">
      <w:pPr>
        <w:jc w:val="both"/>
      </w:pPr>
    </w:p>
    <w:p w14:paraId="03F32975" w14:textId="77777777" w:rsidR="00A45BCF" w:rsidRDefault="00A45BCF" w:rsidP="00CE24EF">
      <w:pPr>
        <w:jc w:val="both"/>
      </w:pPr>
    </w:p>
    <w:p w14:paraId="288D49F1" w14:textId="77777777" w:rsidR="00A45BCF" w:rsidRDefault="00A45BCF" w:rsidP="00CE24EF">
      <w:pPr>
        <w:jc w:val="both"/>
      </w:pPr>
    </w:p>
    <w:p w14:paraId="11533A82" w14:textId="77777777" w:rsidR="00A45BCF" w:rsidRPr="00A45BCF" w:rsidRDefault="00A45BCF" w:rsidP="00A45BCF">
      <w:pPr>
        <w:jc w:val="both"/>
      </w:pPr>
      <w:r w:rsidRPr="00A45BCF">
        <w:rPr>
          <w:b/>
        </w:rPr>
        <w:lastRenderedPageBreak/>
        <w:t>Coordinación y trabajo en equipo: factores clave para la calidad en el personal sanitario y no sanitario</w:t>
      </w:r>
    </w:p>
    <w:p w14:paraId="40F84652" w14:textId="77777777" w:rsidR="00A45BCF" w:rsidRPr="00A45BCF" w:rsidRDefault="00A45BCF" w:rsidP="00A45BCF">
      <w:pPr>
        <w:jc w:val="both"/>
        <w:rPr>
          <w:b/>
        </w:rPr>
      </w:pPr>
      <w:r w:rsidRPr="00A45BCF">
        <w:rPr>
          <w:b/>
        </w:rPr>
        <w:t>Introducción</w:t>
      </w:r>
    </w:p>
    <w:p w14:paraId="0FAEA15E" w14:textId="77777777" w:rsidR="00A45BCF" w:rsidRPr="00A45BCF" w:rsidRDefault="00A45BCF" w:rsidP="00A45BCF">
      <w:pPr>
        <w:jc w:val="both"/>
      </w:pPr>
      <w:r w:rsidRPr="00A45BCF">
        <w:t>El trabajo en equipo es un componente esencial para el funcionamiento eficaz de las organizaciones, especialmente en los centros sanitarios y sociosanitarios, donde la atención a los usuarios depende de la coordinación entre diferentes categorías profesionales. Personal sanitario, administrativo, celadores, personal de limpieza, mantenimiento, cocina, lavandería y otros servicios desempeñan funciones complementarias que contribuyen al logro de un objetivo común: ofrecer una atención segura, eficiente y de calidad.</w:t>
      </w:r>
    </w:p>
    <w:p w14:paraId="39714401" w14:textId="77777777" w:rsidR="00A45BCF" w:rsidRPr="00A45BCF" w:rsidRDefault="00A45BCF" w:rsidP="00A45BCF">
      <w:pPr>
        <w:jc w:val="both"/>
      </w:pPr>
      <w:r w:rsidRPr="00A45BCF">
        <w:t>La creciente complejidad de los procesos asistenciales hace necesaria una comunicación fluida, una adecuada coordinación y una clara distribución de responsabilidades. La falta de colaboración entre profesionales puede generar retrasos, errores, duplicidad de tareas y una disminución de la calidad del servicio.</w:t>
      </w:r>
    </w:p>
    <w:p w14:paraId="494A9E53" w14:textId="77777777" w:rsidR="00A45BCF" w:rsidRPr="00A45BCF" w:rsidRDefault="00A45BCF" w:rsidP="00A45BCF">
      <w:pPr>
        <w:jc w:val="both"/>
      </w:pPr>
      <w:r w:rsidRPr="00A45BCF">
        <w:t>El desarrollo de equipos de trabajo eficaces favorece un clima laboral positivo, incrementa la satisfacción profesional y mejora la capacidad de las organizaciones para responder a situaciones complejas o imprevistas.</w:t>
      </w:r>
    </w:p>
    <w:p w14:paraId="4EA8A653" w14:textId="77777777" w:rsidR="00A45BCF" w:rsidRPr="00A45BCF" w:rsidRDefault="00A45BCF" w:rsidP="00A45BCF">
      <w:pPr>
        <w:jc w:val="both"/>
        <w:rPr>
          <w:b/>
        </w:rPr>
      </w:pPr>
      <w:r w:rsidRPr="00A45BCF">
        <w:rPr>
          <w:b/>
        </w:rPr>
        <w:t>Objetivo</w:t>
      </w:r>
    </w:p>
    <w:p w14:paraId="3701A5A1" w14:textId="77777777" w:rsidR="00A45BCF" w:rsidRPr="00A45BCF" w:rsidRDefault="00A45BCF" w:rsidP="00A45BCF">
      <w:pPr>
        <w:jc w:val="both"/>
      </w:pPr>
      <w:r w:rsidRPr="00A45BCF">
        <w:t>Analizar la importancia del trabajo en equipo como elemento estratégico para mejorar la coordinación, la seguridad y la calidad del servicio en el personal sanitario y no sanitario.</w:t>
      </w:r>
    </w:p>
    <w:p w14:paraId="553BE568" w14:textId="77777777" w:rsidR="00A45BCF" w:rsidRPr="00A45BCF" w:rsidRDefault="00A45BCF" w:rsidP="00A45BCF">
      <w:pPr>
        <w:jc w:val="both"/>
        <w:rPr>
          <w:b/>
        </w:rPr>
      </w:pPr>
      <w:r w:rsidRPr="00A45BCF">
        <w:rPr>
          <w:b/>
        </w:rPr>
        <w:t>Material y método</w:t>
      </w:r>
    </w:p>
    <w:p w14:paraId="75DCB167" w14:textId="77777777" w:rsidR="00A45BCF" w:rsidRPr="00A45BCF" w:rsidRDefault="00A45BCF" w:rsidP="00A45BCF">
      <w:pPr>
        <w:jc w:val="both"/>
      </w:pPr>
      <w:r w:rsidRPr="00A45BCF">
        <w:t xml:space="preserve">Se realizó una revisión bibliográfica descriptiva mediante la consulta de artículos científicos, revisiones sistemáticas y documentos técnicos publicados entre 2015 y 2025. Se consultaron las bases de datos PubMed, </w:t>
      </w:r>
      <w:proofErr w:type="spellStart"/>
      <w:r w:rsidRPr="00A45BCF">
        <w:t>Scopus</w:t>
      </w:r>
      <w:proofErr w:type="spellEnd"/>
      <w:r w:rsidRPr="00A45BCF">
        <w:t xml:space="preserve"> y Google Scholar, además de publicaciones de organismos especializados en seguridad del paciente, gestión sanitaria y comportamiento organizacional.</w:t>
      </w:r>
    </w:p>
    <w:p w14:paraId="2E8EA877" w14:textId="77777777" w:rsidR="00A45BCF" w:rsidRPr="00A45BCF" w:rsidRDefault="00A45BCF" w:rsidP="00A45BCF">
      <w:pPr>
        <w:jc w:val="both"/>
      </w:pPr>
      <w:r w:rsidRPr="00A45BCF">
        <w:t>Se seleccionaron estudios que evaluaban la relación entre el trabajo en equipo, la comunicación interdisciplinar, la satisfacción laboral y la calidad de los servicios.</w:t>
      </w:r>
    </w:p>
    <w:p w14:paraId="31E1B460" w14:textId="77777777" w:rsidR="00A45BCF" w:rsidRPr="00A45BCF" w:rsidRDefault="00A45BCF" w:rsidP="00A45BCF">
      <w:pPr>
        <w:jc w:val="both"/>
        <w:rPr>
          <w:b/>
        </w:rPr>
      </w:pPr>
      <w:r w:rsidRPr="00A45BCF">
        <w:rPr>
          <w:b/>
        </w:rPr>
        <w:t>Resultados</w:t>
      </w:r>
    </w:p>
    <w:p w14:paraId="3AD183DE" w14:textId="77777777" w:rsidR="00A45BCF" w:rsidRPr="00A45BCF" w:rsidRDefault="00A45BCF" w:rsidP="00A45BCF">
      <w:pPr>
        <w:jc w:val="both"/>
      </w:pPr>
      <w:r w:rsidRPr="00A45BCF">
        <w:t>La evidencia científica demuestra que los equipos con una comunicación abierta y una adecuada coordinación obtienen mejores resultados en términos de seguridad, eficiencia y satisfacción de los usuarios. La colaboración entre profesionales facilita el intercambio de información, mejora la toma de decisiones y reduce la probabilidad de errores.</w:t>
      </w:r>
    </w:p>
    <w:p w14:paraId="12BCAFF2" w14:textId="77777777" w:rsidR="00A45BCF" w:rsidRPr="00A45BCF" w:rsidRDefault="00A45BCF" w:rsidP="00A45BCF">
      <w:pPr>
        <w:jc w:val="both"/>
      </w:pPr>
      <w:r w:rsidRPr="00A45BCF">
        <w:lastRenderedPageBreak/>
        <w:t>En el ámbito sanitario, el trabajo conjunto entre médicos, enfermeras, técnicos, auxiliares y personal de apoyo permite ofrecer una atención integral al paciente. Del mismo modo, el personal no sanitario desempeña un papel indispensable al garantizar el correcto funcionamiento de los procesos administrativos, logísticos y de mantenimiento que sustentan la actividad asistencial.</w:t>
      </w:r>
    </w:p>
    <w:p w14:paraId="6BB697A6" w14:textId="77777777" w:rsidR="00A45BCF" w:rsidRPr="00A45BCF" w:rsidRDefault="00A45BCF" w:rsidP="00A45BCF">
      <w:pPr>
        <w:jc w:val="both"/>
      </w:pPr>
      <w:r w:rsidRPr="00A45BCF">
        <w:t>Los estudios revisados identifican varios factores que favorecen el éxito del trabajo en equipo: una comunicación clara, el respeto entre los miembros del grupo, la definición de funciones, el liderazgo colaborativo y la confianza mutua. Estos elementos fortalecen la cohesión del equipo y facilitan la resolución de problemas.</w:t>
      </w:r>
    </w:p>
    <w:p w14:paraId="56E4B91C" w14:textId="77777777" w:rsidR="00A45BCF" w:rsidRPr="00A45BCF" w:rsidRDefault="00A45BCF" w:rsidP="00A45BCF">
      <w:pPr>
        <w:jc w:val="both"/>
      </w:pPr>
      <w:r w:rsidRPr="00A45BCF">
        <w:t>Asimismo, la formación conjunta y las reuniones periódicas de coordinación permiten mejorar la comprensión de las funciones de cada profesional, aumentar la cooperación y optimizar los recursos disponibles.</w:t>
      </w:r>
    </w:p>
    <w:p w14:paraId="1F9E401D" w14:textId="77777777" w:rsidR="00A45BCF" w:rsidRPr="00A45BCF" w:rsidRDefault="00A45BCF" w:rsidP="00A45BCF">
      <w:pPr>
        <w:jc w:val="both"/>
      </w:pPr>
      <w:r w:rsidRPr="00A45BCF">
        <w:t>La literatura científica también señala que los equipos con un buen clima laboral presentan menores niveles de estrés, mayor compromiso con la organización y una menor incidencia de conflictos interpersonales, lo que repercute positivamente en la calidad del servicio.</w:t>
      </w:r>
    </w:p>
    <w:p w14:paraId="150E6351" w14:textId="77777777" w:rsidR="00A45BCF" w:rsidRPr="00A45BCF" w:rsidRDefault="00A45BCF" w:rsidP="00A45BCF">
      <w:pPr>
        <w:jc w:val="both"/>
        <w:rPr>
          <w:b/>
        </w:rPr>
      </w:pPr>
      <w:r w:rsidRPr="00A45BCF">
        <w:rPr>
          <w:b/>
        </w:rPr>
        <w:t>Conclusiones</w:t>
      </w:r>
    </w:p>
    <w:p w14:paraId="6404D88A" w14:textId="77777777" w:rsidR="00A45BCF" w:rsidRPr="00A45BCF" w:rsidRDefault="00A45BCF" w:rsidP="00A45BCF">
      <w:pPr>
        <w:jc w:val="both"/>
      </w:pPr>
      <w:r w:rsidRPr="00A45BCF">
        <w:t>El trabajo en equipo constituye una competencia imprescindible para el personal sanitario y no sanitario. La colaboración entre profesionales favorece una atención más segura, una organización más eficiente y una mejor utilización de los recursos disponibles.</w:t>
      </w:r>
    </w:p>
    <w:p w14:paraId="28F4163A" w14:textId="77777777" w:rsidR="00A45BCF" w:rsidRPr="00A45BCF" w:rsidRDefault="00A45BCF" w:rsidP="00A45BCF">
      <w:pPr>
        <w:jc w:val="both"/>
      </w:pPr>
      <w:r w:rsidRPr="00A45BCF">
        <w:t>La promoción de una cultura basada en la comunicación, el respeto y la cooperación contribuye a fortalecer las relaciones laborales, reducir errores y mejorar la satisfacción tanto de los trabajadores como de los usuarios.</w:t>
      </w:r>
    </w:p>
    <w:p w14:paraId="37057EB8" w14:textId="77777777" w:rsidR="00A45BCF" w:rsidRPr="00A45BCF" w:rsidRDefault="00A45BCF" w:rsidP="00A45BCF">
      <w:pPr>
        <w:jc w:val="both"/>
      </w:pPr>
      <w:r w:rsidRPr="00A45BCF">
        <w:t xml:space="preserve">Las organizaciones deben impulsar programas de formación en trabajo en equipo, liderazgo y comunicación interdisciplinar, promoviendo la </w:t>
      </w:r>
      <w:proofErr w:type="gramStart"/>
      <w:r w:rsidRPr="00A45BCF">
        <w:t>participación activa</w:t>
      </w:r>
      <w:proofErr w:type="gramEnd"/>
      <w:r w:rsidRPr="00A45BCF">
        <w:t xml:space="preserve"> de todos los profesionales como estrategia para alcanzar una atención de mayor calidad.</w:t>
      </w:r>
    </w:p>
    <w:p w14:paraId="68DB35E7" w14:textId="77777777" w:rsidR="00A45BCF" w:rsidRPr="00A45BCF" w:rsidRDefault="00A45BCF" w:rsidP="00A45BCF">
      <w:pPr>
        <w:jc w:val="both"/>
        <w:rPr>
          <w:b/>
        </w:rPr>
      </w:pPr>
      <w:r w:rsidRPr="00A45BCF">
        <w:rPr>
          <w:b/>
        </w:rPr>
        <w:t>Bibliografía</w:t>
      </w:r>
    </w:p>
    <w:p w14:paraId="3CAFCFB0" w14:textId="77777777" w:rsidR="00A45BCF" w:rsidRPr="00A45BCF" w:rsidRDefault="00A45BCF" w:rsidP="00A45BCF">
      <w:pPr>
        <w:numPr>
          <w:ilvl w:val="0"/>
          <w:numId w:val="35"/>
        </w:numPr>
        <w:jc w:val="both"/>
        <w:rPr>
          <w:lang w:val="en-GB"/>
        </w:rPr>
      </w:pPr>
      <w:r w:rsidRPr="00A45BCF">
        <w:t xml:space="preserve">Organización Mundial de la Salud. </w:t>
      </w:r>
      <w:r w:rsidRPr="00A45BCF">
        <w:rPr>
          <w:lang w:val="en-GB"/>
        </w:rPr>
        <w:t>(2023). *Framework for Action on Interprofessional Education and Collaborative Practice*.</w:t>
      </w:r>
    </w:p>
    <w:p w14:paraId="3FBF5493" w14:textId="77777777" w:rsidR="00A45BCF" w:rsidRPr="00A45BCF" w:rsidRDefault="00A45BCF" w:rsidP="00A45BCF">
      <w:pPr>
        <w:numPr>
          <w:ilvl w:val="0"/>
          <w:numId w:val="35"/>
        </w:numPr>
        <w:jc w:val="both"/>
      </w:pPr>
      <w:r w:rsidRPr="00A45BCF">
        <w:t>Agencia Europea para la Seguridad y la Salud en el Trabajo. (2023). *</w:t>
      </w:r>
      <w:proofErr w:type="spellStart"/>
      <w:r w:rsidRPr="00A45BCF">
        <w:t>Healthy</w:t>
      </w:r>
      <w:proofErr w:type="spellEnd"/>
      <w:r w:rsidRPr="00A45BCF">
        <w:t xml:space="preserve"> </w:t>
      </w:r>
      <w:proofErr w:type="spellStart"/>
      <w:r w:rsidRPr="00A45BCF">
        <w:t>Workplaces</w:t>
      </w:r>
      <w:proofErr w:type="spellEnd"/>
      <w:r w:rsidRPr="00A45BCF">
        <w:t xml:space="preserve"> </w:t>
      </w:r>
      <w:proofErr w:type="spellStart"/>
      <w:r w:rsidRPr="00A45BCF">
        <w:t>Campaign</w:t>
      </w:r>
      <w:proofErr w:type="spellEnd"/>
      <w:r w:rsidRPr="00A45BCF">
        <w:t>*.</w:t>
      </w:r>
    </w:p>
    <w:p w14:paraId="2A1C69BD" w14:textId="77777777" w:rsidR="00A45BCF" w:rsidRPr="00A45BCF" w:rsidRDefault="00A45BCF" w:rsidP="00A45BCF">
      <w:pPr>
        <w:numPr>
          <w:ilvl w:val="0"/>
          <w:numId w:val="35"/>
        </w:numPr>
        <w:jc w:val="both"/>
      </w:pPr>
      <w:r w:rsidRPr="00A45BCF">
        <w:rPr>
          <w:lang w:val="en-GB"/>
        </w:rPr>
        <w:t xml:space="preserve">Amy C. Edmondson. (2019). *The Fearless Organization*. </w:t>
      </w:r>
      <w:r w:rsidRPr="00A45BCF">
        <w:t>John Wiley &amp; Sons.</w:t>
      </w:r>
    </w:p>
    <w:p w14:paraId="1F114570" w14:textId="77777777" w:rsidR="00A45BCF" w:rsidRPr="00A45BCF" w:rsidRDefault="00A45BCF" w:rsidP="00A45BCF">
      <w:pPr>
        <w:numPr>
          <w:ilvl w:val="0"/>
          <w:numId w:val="35"/>
        </w:numPr>
        <w:jc w:val="both"/>
      </w:pPr>
      <w:r w:rsidRPr="00A45BCF">
        <w:rPr>
          <w:lang w:val="en-GB"/>
        </w:rPr>
        <w:lastRenderedPageBreak/>
        <w:t xml:space="preserve">Salas, E., Reyes, D. L., &amp; McDaniel, S. H. (2018). The science of teamwork: Progress, reflections and future directions. </w:t>
      </w:r>
      <w:r w:rsidRPr="00A45BCF">
        <w:t xml:space="preserve">*American </w:t>
      </w:r>
      <w:proofErr w:type="spellStart"/>
      <w:r w:rsidRPr="00A45BCF">
        <w:t>Psychologist</w:t>
      </w:r>
      <w:proofErr w:type="spellEnd"/>
      <w:r w:rsidRPr="00A45BCF">
        <w:t>*, 73(4), 593-600.</w:t>
      </w:r>
    </w:p>
    <w:p w14:paraId="74A1A1FE" w14:textId="77777777" w:rsidR="00A45BCF" w:rsidRPr="00A45BCF" w:rsidRDefault="00A45BCF" w:rsidP="00A45BCF">
      <w:pPr>
        <w:numPr>
          <w:ilvl w:val="0"/>
          <w:numId w:val="35"/>
        </w:numPr>
        <w:jc w:val="both"/>
      </w:pPr>
      <w:r w:rsidRPr="00A45BCF">
        <w:t>Instituto Nacional de Seguridad y Salud en el Trabajo. (2024). *Factores psicosociales y organización del trabajo*.</w:t>
      </w:r>
    </w:p>
    <w:p w14:paraId="5CD8E035" w14:textId="77777777" w:rsidR="00A45BCF" w:rsidRDefault="00A45BCF" w:rsidP="00CE24EF">
      <w:pPr>
        <w:jc w:val="both"/>
      </w:pPr>
    </w:p>
    <w:p w14:paraId="1A534F98" w14:textId="77777777" w:rsidR="00A45BCF" w:rsidRDefault="00A45BCF" w:rsidP="00CE24EF">
      <w:pPr>
        <w:jc w:val="both"/>
      </w:pPr>
    </w:p>
    <w:p w14:paraId="5C0D72DD" w14:textId="77777777" w:rsidR="00A45BCF" w:rsidRDefault="00A45BCF" w:rsidP="00CE24EF">
      <w:pPr>
        <w:jc w:val="both"/>
      </w:pPr>
    </w:p>
    <w:p w14:paraId="134C8943" w14:textId="77777777" w:rsidR="00A45BCF" w:rsidRDefault="00A45BCF" w:rsidP="00CE24EF">
      <w:pPr>
        <w:jc w:val="both"/>
      </w:pPr>
    </w:p>
    <w:p w14:paraId="3043AE69" w14:textId="77777777" w:rsidR="00A45BCF" w:rsidRDefault="00A45BCF" w:rsidP="00CE24EF">
      <w:pPr>
        <w:jc w:val="both"/>
      </w:pPr>
    </w:p>
    <w:p w14:paraId="61075752" w14:textId="77777777" w:rsidR="00A45BCF" w:rsidRDefault="00A45BCF" w:rsidP="00CE24EF">
      <w:pPr>
        <w:jc w:val="both"/>
      </w:pPr>
    </w:p>
    <w:p w14:paraId="34B892A8" w14:textId="77777777" w:rsidR="00A45BCF" w:rsidRDefault="00A45BCF" w:rsidP="00CE24EF">
      <w:pPr>
        <w:jc w:val="both"/>
      </w:pPr>
    </w:p>
    <w:p w14:paraId="32A5978C" w14:textId="77777777" w:rsidR="00A45BCF" w:rsidRDefault="00A45BCF" w:rsidP="00CE24EF">
      <w:pPr>
        <w:jc w:val="both"/>
      </w:pPr>
    </w:p>
    <w:p w14:paraId="297976ED" w14:textId="77777777" w:rsidR="00A45BCF" w:rsidRDefault="00A45BCF" w:rsidP="00CE24EF">
      <w:pPr>
        <w:jc w:val="both"/>
      </w:pPr>
    </w:p>
    <w:p w14:paraId="6C46634F" w14:textId="77777777" w:rsidR="00A45BCF" w:rsidRDefault="00A45BCF" w:rsidP="00CE24EF">
      <w:pPr>
        <w:jc w:val="both"/>
      </w:pPr>
    </w:p>
    <w:p w14:paraId="7ACCA33B" w14:textId="77777777" w:rsidR="00A45BCF" w:rsidRDefault="00A45BCF" w:rsidP="00CE24EF">
      <w:pPr>
        <w:jc w:val="both"/>
      </w:pPr>
    </w:p>
    <w:p w14:paraId="4A0A4B85" w14:textId="77777777" w:rsidR="00A45BCF" w:rsidRDefault="00A45BCF" w:rsidP="00CE24EF">
      <w:pPr>
        <w:jc w:val="both"/>
      </w:pPr>
    </w:p>
    <w:p w14:paraId="02E6094E" w14:textId="77777777" w:rsidR="00A45BCF" w:rsidRDefault="00A45BCF" w:rsidP="00CE24EF">
      <w:pPr>
        <w:jc w:val="both"/>
      </w:pPr>
    </w:p>
    <w:p w14:paraId="623E7948" w14:textId="77777777" w:rsidR="00A45BCF" w:rsidRDefault="00A45BCF" w:rsidP="00CE24EF">
      <w:pPr>
        <w:jc w:val="both"/>
      </w:pPr>
    </w:p>
    <w:p w14:paraId="7FBBF087" w14:textId="77777777" w:rsidR="00A45BCF" w:rsidRDefault="00A45BCF" w:rsidP="00CE24EF">
      <w:pPr>
        <w:jc w:val="both"/>
      </w:pPr>
    </w:p>
    <w:p w14:paraId="7EFDA964" w14:textId="77777777" w:rsidR="00A45BCF" w:rsidRDefault="00A45BCF" w:rsidP="00CE24EF">
      <w:pPr>
        <w:jc w:val="both"/>
      </w:pPr>
    </w:p>
    <w:p w14:paraId="2B6C29B5" w14:textId="77777777" w:rsidR="00A45BCF" w:rsidRDefault="00A45BCF" w:rsidP="00CE24EF">
      <w:pPr>
        <w:jc w:val="both"/>
      </w:pPr>
    </w:p>
    <w:p w14:paraId="6E047F17" w14:textId="77777777" w:rsidR="00A45BCF" w:rsidRDefault="00A45BCF" w:rsidP="00CE24EF">
      <w:pPr>
        <w:jc w:val="both"/>
      </w:pPr>
    </w:p>
    <w:p w14:paraId="53D13206" w14:textId="77777777" w:rsidR="00A45BCF" w:rsidRDefault="00A45BCF" w:rsidP="00CE24EF">
      <w:pPr>
        <w:jc w:val="both"/>
      </w:pPr>
    </w:p>
    <w:p w14:paraId="0BF54E1E" w14:textId="77777777" w:rsidR="00A45BCF" w:rsidRDefault="00A45BCF" w:rsidP="00CE24EF">
      <w:pPr>
        <w:jc w:val="both"/>
      </w:pPr>
    </w:p>
    <w:p w14:paraId="2DA3404C" w14:textId="77777777" w:rsidR="00A45BCF" w:rsidRDefault="00A45BCF" w:rsidP="00CE24EF">
      <w:pPr>
        <w:jc w:val="both"/>
      </w:pPr>
    </w:p>
    <w:p w14:paraId="27FFCF99" w14:textId="77777777" w:rsidR="00A45BCF" w:rsidRDefault="00A45BCF" w:rsidP="00CE24EF">
      <w:pPr>
        <w:jc w:val="both"/>
      </w:pPr>
    </w:p>
    <w:p w14:paraId="77480176" w14:textId="77777777" w:rsidR="00A45BCF" w:rsidRDefault="00A45BCF" w:rsidP="00CE24EF">
      <w:pPr>
        <w:jc w:val="both"/>
      </w:pPr>
    </w:p>
    <w:p w14:paraId="1080B6CB" w14:textId="77777777" w:rsidR="00A45BCF" w:rsidRDefault="00A45BCF" w:rsidP="00CE24EF">
      <w:pPr>
        <w:jc w:val="both"/>
      </w:pPr>
    </w:p>
    <w:p w14:paraId="755590B9" w14:textId="77777777" w:rsidR="00A45BCF" w:rsidRPr="00A45BCF" w:rsidRDefault="00A45BCF" w:rsidP="00A45BCF">
      <w:pPr>
        <w:jc w:val="both"/>
      </w:pPr>
      <w:r w:rsidRPr="00A45BCF">
        <w:rPr>
          <w:b/>
        </w:rPr>
        <w:lastRenderedPageBreak/>
        <w:t>El papel del personal sanitario y no sanitario en la prevención y detección de la violencia de género</w:t>
      </w:r>
    </w:p>
    <w:p w14:paraId="6E9DFA45" w14:textId="77777777" w:rsidR="00A45BCF" w:rsidRPr="00A45BCF" w:rsidRDefault="00A45BCF" w:rsidP="00A45BCF">
      <w:pPr>
        <w:jc w:val="both"/>
        <w:rPr>
          <w:b/>
        </w:rPr>
      </w:pPr>
      <w:r w:rsidRPr="00A45BCF">
        <w:rPr>
          <w:b/>
        </w:rPr>
        <w:t>Introducción</w:t>
      </w:r>
    </w:p>
    <w:p w14:paraId="3D972D04" w14:textId="77777777" w:rsidR="00A45BCF" w:rsidRPr="00A45BCF" w:rsidRDefault="00A45BCF" w:rsidP="00A45BCF">
      <w:pPr>
        <w:jc w:val="both"/>
      </w:pPr>
      <w:r w:rsidRPr="00A45BCF">
        <w:t>La violencia de género constituye un importante problema de salud pública y una grave vulneración de los derechos humanos. Sus consecuencias afectan a la salud física, psicológica, social y económica de las víctimas, repercutiendo también en sus familias y en la sociedad. Debido a su elevada prevalencia, la detección precoz y la atención integral representan objetivos prioritarios para los sistemas sanitarios y los servicios públicos.</w:t>
      </w:r>
    </w:p>
    <w:p w14:paraId="6BA6C758" w14:textId="77777777" w:rsidR="00A45BCF" w:rsidRPr="00A45BCF" w:rsidRDefault="00A45BCF" w:rsidP="00A45BCF">
      <w:pPr>
        <w:jc w:val="both"/>
      </w:pPr>
      <w:r w:rsidRPr="00A45BCF">
        <w:t>Aunque la intervención directa suele corresponder a los profesionales sanitarios y a los servicios especializados, el personal no sanitario también desempeña un papel relevante. Profesionales de admisión, atención al público, seguridad, limpieza, mantenimiento o administración pueden observar situaciones de riesgo o comportamientos que requieran activar los protocolos establecidos.</w:t>
      </w:r>
    </w:p>
    <w:p w14:paraId="783A7373" w14:textId="77777777" w:rsidR="00A45BCF" w:rsidRPr="00A45BCF" w:rsidRDefault="00A45BCF" w:rsidP="00A45BCF">
      <w:pPr>
        <w:jc w:val="both"/>
      </w:pPr>
      <w:r w:rsidRPr="00A45BCF">
        <w:t>La coordinación entre todos los trabajadores, el conocimiento de los recursos disponibles y el respeto a la confidencialidad permiten ofrecer una respuesta más eficaz y segura, favoreciendo la protección de las víctimas y el acceso a los servicios de apoyo.</w:t>
      </w:r>
    </w:p>
    <w:p w14:paraId="756C05F9" w14:textId="77777777" w:rsidR="00A45BCF" w:rsidRPr="00A45BCF" w:rsidRDefault="00A45BCF" w:rsidP="00A45BCF">
      <w:pPr>
        <w:jc w:val="both"/>
        <w:rPr>
          <w:b/>
        </w:rPr>
      </w:pPr>
      <w:r w:rsidRPr="00A45BCF">
        <w:rPr>
          <w:b/>
        </w:rPr>
        <w:t>Objetivo</w:t>
      </w:r>
    </w:p>
    <w:p w14:paraId="4C2E23C2" w14:textId="77777777" w:rsidR="00A45BCF" w:rsidRPr="00A45BCF" w:rsidRDefault="00A45BCF" w:rsidP="00A45BCF">
      <w:pPr>
        <w:jc w:val="both"/>
      </w:pPr>
      <w:r w:rsidRPr="00A45BCF">
        <w:t>Analizar la importancia de la implicación del personal sanitario y no sanitario en la prevención, detección y actuación frente a la violencia de género, destacando las medidas que contribuyen a una atención segura, coordinada y respetuosa.</w:t>
      </w:r>
    </w:p>
    <w:p w14:paraId="211E9E86" w14:textId="77777777" w:rsidR="00A45BCF" w:rsidRPr="00A45BCF" w:rsidRDefault="00A45BCF" w:rsidP="00A45BCF">
      <w:pPr>
        <w:jc w:val="both"/>
        <w:rPr>
          <w:b/>
        </w:rPr>
      </w:pPr>
      <w:r w:rsidRPr="00A45BCF">
        <w:rPr>
          <w:b/>
        </w:rPr>
        <w:t>Material y método</w:t>
      </w:r>
    </w:p>
    <w:p w14:paraId="2EB43460" w14:textId="77777777" w:rsidR="00A45BCF" w:rsidRPr="00A45BCF" w:rsidRDefault="00A45BCF" w:rsidP="00A45BCF">
      <w:pPr>
        <w:jc w:val="both"/>
      </w:pPr>
      <w:r w:rsidRPr="00A45BCF">
        <w:t xml:space="preserve">Se realizó una revisión bibliográfica descriptiva mediante la consulta de artículos científicos, protocolos asistenciales y documentos institucionales publicados entre 2015 y 2025. Se revisaron las bases de datos PubMed, </w:t>
      </w:r>
      <w:proofErr w:type="spellStart"/>
      <w:r w:rsidRPr="00A45BCF">
        <w:t>Scopus</w:t>
      </w:r>
      <w:proofErr w:type="spellEnd"/>
      <w:r w:rsidRPr="00A45BCF">
        <w:t xml:space="preserve"> y Google Scholar, además de publicaciones del Ministerio de Sanidad, la Delegación del Gobierno contra la Violencia de Género y la Organización Mundial de la Salud.</w:t>
      </w:r>
    </w:p>
    <w:p w14:paraId="524A1B78" w14:textId="77777777" w:rsidR="00A45BCF" w:rsidRPr="00A45BCF" w:rsidRDefault="00A45BCF" w:rsidP="00A45BCF">
      <w:pPr>
        <w:jc w:val="both"/>
      </w:pPr>
      <w:r w:rsidRPr="00A45BCF">
        <w:t>Se seleccionaron documentos relacionados con la detección precoz, la atención interdisciplinar, los factores de riesgo y la coordinación entre profesionales.</w:t>
      </w:r>
    </w:p>
    <w:p w14:paraId="000CA736" w14:textId="77777777" w:rsidR="00A45BCF" w:rsidRPr="00A45BCF" w:rsidRDefault="00A45BCF" w:rsidP="00A45BCF">
      <w:pPr>
        <w:jc w:val="both"/>
        <w:rPr>
          <w:b/>
        </w:rPr>
      </w:pPr>
      <w:r w:rsidRPr="00A45BCF">
        <w:rPr>
          <w:b/>
        </w:rPr>
        <w:t>Resultados</w:t>
      </w:r>
    </w:p>
    <w:p w14:paraId="00776337" w14:textId="77777777" w:rsidR="00A45BCF" w:rsidRPr="00A45BCF" w:rsidRDefault="00A45BCF" w:rsidP="00A45BCF">
      <w:pPr>
        <w:jc w:val="both"/>
      </w:pPr>
      <w:r w:rsidRPr="00A45BCF">
        <w:t>La literatura científica pone de manifiesto que una parte significativa de las mujeres que sufren violencia de género mantiene contacto con servicios sanitarios o administrativos antes de solicitar ayuda específica. Por este motivo, todos los profesionales pueden desempeñar un papel relevante en la identificación de situaciones de riesgo.</w:t>
      </w:r>
    </w:p>
    <w:p w14:paraId="7F25E8FB" w14:textId="77777777" w:rsidR="00A45BCF" w:rsidRPr="00A45BCF" w:rsidRDefault="00A45BCF" w:rsidP="00A45BCF">
      <w:pPr>
        <w:jc w:val="both"/>
      </w:pPr>
      <w:r w:rsidRPr="00A45BCF">
        <w:lastRenderedPageBreak/>
        <w:t>Los estudios muestran que la formación específica mejora la capacidad para reconocer indicadores de sospecha, como lesiones repetidas, ansiedad, miedo, aislamiento social, explicaciones inconsistentes sobre el origen de las lesiones o conductas de control ejercidas por la pareja. La identificación de estos signos debe ir acompañada del respeto a la privacidad, la escucha activa y la aplicación de los protocolos institucionales.</w:t>
      </w:r>
    </w:p>
    <w:p w14:paraId="6C67CEEC" w14:textId="77777777" w:rsidR="00A45BCF" w:rsidRPr="00A45BCF" w:rsidRDefault="00A45BCF" w:rsidP="00A45BCF">
      <w:pPr>
        <w:jc w:val="both"/>
      </w:pPr>
      <w:r w:rsidRPr="00A45BCF">
        <w:t>En el ámbito sanitario, la actuación incluye la valoración clínica, el registro adecuado de la información y la derivación a los recursos correspondientes. El personal no sanitario, aunque no realiza funciones asistenciales, contribuye creando un entorno seguro, facilitando la comunicación con los profesionales competentes y respetando en todo momento la confidencialidad.</w:t>
      </w:r>
    </w:p>
    <w:p w14:paraId="657A31B0" w14:textId="77777777" w:rsidR="00A45BCF" w:rsidRPr="00A45BCF" w:rsidRDefault="00A45BCF" w:rsidP="00A45BCF">
      <w:pPr>
        <w:jc w:val="both"/>
      </w:pPr>
      <w:r w:rsidRPr="00A45BCF">
        <w:t>La evidencia científica destaca que la coordinación entre los diferentes servicios mejora la continuidad de la atención y facilita el acceso de las víctimas a recursos sanitarios, sociales, psicológicos y jurídicos. Asimismo, las campañas de sensibilización y la formación continuada incrementan el conocimiento de los protocolos y favorecen una respuesta más eficaz.</w:t>
      </w:r>
    </w:p>
    <w:p w14:paraId="1BD113D1" w14:textId="77777777" w:rsidR="00A45BCF" w:rsidRPr="00A45BCF" w:rsidRDefault="00A45BCF" w:rsidP="00A45BCF">
      <w:pPr>
        <w:jc w:val="both"/>
        <w:rPr>
          <w:b/>
        </w:rPr>
      </w:pPr>
      <w:r w:rsidRPr="00A45BCF">
        <w:rPr>
          <w:b/>
        </w:rPr>
        <w:t>Conclusiones</w:t>
      </w:r>
    </w:p>
    <w:p w14:paraId="3EF1FB76" w14:textId="77777777" w:rsidR="00A45BCF" w:rsidRPr="00A45BCF" w:rsidRDefault="00A45BCF" w:rsidP="00A45BCF">
      <w:pPr>
        <w:jc w:val="both"/>
      </w:pPr>
      <w:r w:rsidRPr="00A45BCF">
        <w:t xml:space="preserve">La violencia de género requiere una respuesta coordinada en la que participen tanto el personal sanitario como el no sanitario, cada </w:t>
      </w:r>
      <w:proofErr w:type="gramStart"/>
      <w:r w:rsidRPr="00A45BCF">
        <w:t>uno</w:t>
      </w:r>
      <w:proofErr w:type="gramEnd"/>
      <w:r w:rsidRPr="00A45BCF">
        <w:t xml:space="preserve"> dentro de sus competencias profesionales. La detección precoz, el conocimiento de los protocolos de actuación y el respeto a la confidencialidad son elementos esenciales para ofrecer una atención segura y de calidad.</w:t>
      </w:r>
    </w:p>
    <w:p w14:paraId="6448C318" w14:textId="77777777" w:rsidR="00A45BCF" w:rsidRPr="00A45BCF" w:rsidRDefault="00A45BCF" w:rsidP="00A45BCF">
      <w:pPr>
        <w:jc w:val="both"/>
      </w:pPr>
      <w:r w:rsidRPr="00A45BCF">
        <w:t>La formación continuada y la colaboración interdisciplinar fortalecen la capacidad de las organizaciones para identificar situaciones de riesgo y facilitar el acceso de las víctimas a los recursos disponibles.</w:t>
      </w:r>
    </w:p>
    <w:p w14:paraId="567158C4" w14:textId="77777777" w:rsidR="00A45BCF" w:rsidRPr="00A45BCF" w:rsidRDefault="00A45BCF" w:rsidP="00A45BCF">
      <w:pPr>
        <w:jc w:val="both"/>
      </w:pPr>
      <w:r w:rsidRPr="00A45BCF">
        <w:t>Promover una cultura institucional basada en la igualdad, el respeto y la tolerancia cero frente a la violencia de género contribuye a mejorar la protección de las víctimas y a reforzar el compromiso de los profesionales con una atención integral y humanizada.</w:t>
      </w:r>
    </w:p>
    <w:p w14:paraId="55674A5E" w14:textId="77777777" w:rsidR="00A45BCF" w:rsidRPr="00A45BCF" w:rsidRDefault="00A45BCF" w:rsidP="00A45BCF">
      <w:pPr>
        <w:jc w:val="both"/>
        <w:rPr>
          <w:b/>
        </w:rPr>
      </w:pPr>
      <w:r w:rsidRPr="00A45BCF">
        <w:rPr>
          <w:b/>
        </w:rPr>
        <w:t>Bibliografía</w:t>
      </w:r>
    </w:p>
    <w:p w14:paraId="769CD8F4" w14:textId="77777777" w:rsidR="00A45BCF" w:rsidRPr="00A45BCF" w:rsidRDefault="00A45BCF" w:rsidP="00A45BCF">
      <w:pPr>
        <w:numPr>
          <w:ilvl w:val="0"/>
          <w:numId w:val="36"/>
        </w:numPr>
        <w:jc w:val="both"/>
      </w:pPr>
      <w:r w:rsidRPr="00A45BCF">
        <w:t>Organización Mundial de la Salud. (2024). *</w:t>
      </w:r>
      <w:proofErr w:type="spellStart"/>
      <w:r w:rsidRPr="00A45BCF">
        <w:t>Violence</w:t>
      </w:r>
      <w:proofErr w:type="spellEnd"/>
      <w:r w:rsidRPr="00A45BCF">
        <w:t xml:space="preserve"> </w:t>
      </w:r>
      <w:proofErr w:type="spellStart"/>
      <w:r w:rsidRPr="00A45BCF">
        <w:t>against</w:t>
      </w:r>
      <w:proofErr w:type="spellEnd"/>
      <w:r w:rsidRPr="00A45BCF">
        <w:t xml:space="preserve"> Women*.</w:t>
      </w:r>
    </w:p>
    <w:p w14:paraId="7A3BFC8D" w14:textId="77777777" w:rsidR="00A45BCF" w:rsidRPr="00A45BCF" w:rsidRDefault="00A45BCF" w:rsidP="00A45BCF">
      <w:pPr>
        <w:numPr>
          <w:ilvl w:val="0"/>
          <w:numId w:val="36"/>
        </w:numPr>
        <w:jc w:val="both"/>
      </w:pPr>
      <w:r w:rsidRPr="00A45BCF">
        <w:t>Ministerio de Sanidad. (2023). *Protocolo común para la actuación sanitaria ante la violencia de género*.</w:t>
      </w:r>
    </w:p>
    <w:p w14:paraId="6A54AD6C" w14:textId="77777777" w:rsidR="00A45BCF" w:rsidRPr="00A45BCF" w:rsidRDefault="00A45BCF" w:rsidP="00A45BCF">
      <w:pPr>
        <w:numPr>
          <w:ilvl w:val="0"/>
          <w:numId w:val="36"/>
        </w:numPr>
        <w:jc w:val="both"/>
      </w:pPr>
      <w:r w:rsidRPr="00A45BCF">
        <w:t>Delegación del Gobierno contra la Violencia de Género. (2024). *Guía de actuación frente a la violencia contra las mujeres*.</w:t>
      </w:r>
    </w:p>
    <w:p w14:paraId="4D8E0058" w14:textId="77777777" w:rsidR="00A45BCF" w:rsidRPr="00A45BCF" w:rsidRDefault="00A45BCF" w:rsidP="00A45BCF">
      <w:pPr>
        <w:numPr>
          <w:ilvl w:val="0"/>
          <w:numId w:val="36"/>
        </w:numPr>
        <w:jc w:val="both"/>
        <w:rPr>
          <w:lang w:val="en-GB"/>
        </w:rPr>
      </w:pPr>
      <w:proofErr w:type="spellStart"/>
      <w:r w:rsidRPr="00A45BCF">
        <w:rPr>
          <w:lang w:val="en-GB"/>
        </w:rPr>
        <w:lastRenderedPageBreak/>
        <w:t>Naciones</w:t>
      </w:r>
      <w:proofErr w:type="spellEnd"/>
      <w:r w:rsidRPr="00A45BCF">
        <w:rPr>
          <w:lang w:val="en-GB"/>
        </w:rPr>
        <w:t xml:space="preserve"> Unidas Mujeres. (2023). *Handbook for Addressing Violence against Women*.</w:t>
      </w:r>
    </w:p>
    <w:p w14:paraId="5BB01053" w14:textId="77777777" w:rsidR="00A45BCF" w:rsidRPr="00A45BCF" w:rsidRDefault="00A45BCF" w:rsidP="00A45BCF">
      <w:pPr>
        <w:numPr>
          <w:ilvl w:val="0"/>
          <w:numId w:val="36"/>
        </w:numPr>
        <w:jc w:val="both"/>
      </w:pPr>
      <w:r w:rsidRPr="00A45BCF">
        <w:t xml:space="preserve">García-Moreno, C., Hegarty, K., </w:t>
      </w:r>
      <w:proofErr w:type="spellStart"/>
      <w:r w:rsidRPr="00A45BCF">
        <w:t>d'Oliveira</w:t>
      </w:r>
      <w:proofErr w:type="spellEnd"/>
      <w:r w:rsidRPr="00A45BCF">
        <w:t xml:space="preserve">, A. F. L., et al. </w:t>
      </w:r>
      <w:r w:rsidRPr="00A45BCF">
        <w:rPr>
          <w:lang w:val="en-GB"/>
        </w:rPr>
        <w:t xml:space="preserve">(2015). The health-systems response to violence against women. </w:t>
      </w:r>
      <w:r w:rsidRPr="00A45BCF">
        <w:t>*The Lancet*, 385(9977), 1567–1579.</w:t>
      </w:r>
    </w:p>
    <w:p w14:paraId="24FA6E90" w14:textId="77777777" w:rsidR="00A45BCF" w:rsidRDefault="00A45BCF" w:rsidP="00CE24EF">
      <w:pPr>
        <w:jc w:val="both"/>
      </w:pPr>
    </w:p>
    <w:p w14:paraId="43B76721" w14:textId="77777777" w:rsidR="00F42CCD" w:rsidRDefault="00F42CCD" w:rsidP="00CE24EF">
      <w:pPr>
        <w:jc w:val="both"/>
      </w:pPr>
    </w:p>
    <w:p w14:paraId="0120858F" w14:textId="77777777" w:rsidR="00F42CCD" w:rsidRDefault="00F42CCD" w:rsidP="00CE24EF">
      <w:pPr>
        <w:jc w:val="both"/>
      </w:pPr>
    </w:p>
    <w:p w14:paraId="298F7557" w14:textId="77777777" w:rsidR="00F42CCD" w:rsidRDefault="00F42CCD" w:rsidP="00CE24EF">
      <w:pPr>
        <w:jc w:val="both"/>
      </w:pPr>
    </w:p>
    <w:p w14:paraId="1BF717BE" w14:textId="77777777" w:rsidR="00F42CCD" w:rsidRDefault="00F42CCD" w:rsidP="00CE24EF">
      <w:pPr>
        <w:jc w:val="both"/>
      </w:pPr>
    </w:p>
    <w:p w14:paraId="21BB329A" w14:textId="77777777" w:rsidR="00F42CCD" w:rsidRDefault="00F42CCD" w:rsidP="00CE24EF">
      <w:pPr>
        <w:jc w:val="both"/>
      </w:pPr>
    </w:p>
    <w:p w14:paraId="47DD67A0" w14:textId="77777777" w:rsidR="00F42CCD" w:rsidRDefault="00F42CCD" w:rsidP="00CE24EF">
      <w:pPr>
        <w:jc w:val="both"/>
      </w:pPr>
    </w:p>
    <w:p w14:paraId="2ADF0EBB" w14:textId="77777777" w:rsidR="00F42CCD" w:rsidRDefault="00F42CCD" w:rsidP="00CE24EF">
      <w:pPr>
        <w:jc w:val="both"/>
      </w:pPr>
    </w:p>
    <w:p w14:paraId="4F7C224B" w14:textId="77777777" w:rsidR="00F42CCD" w:rsidRDefault="00F42CCD" w:rsidP="00CE24EF">
      <w:pPr>
        <w:jc w:val="both"/>
      </w:pPr>
    </w:p>
    <w:p w14:paraId="75744080" w14:textId="77777777" w:rsidR="00F42CCD" w:rsidRDefault="00F42CCD" w:rsidP="00CE24EF">
      <w:pPr>
        <w:jc w:val="both"/>
      </w:pPr>
    </w:p>
    <w:p w14:paraId="0804C336" w14:textId="77777777" w:rsidR="00F42CCD" w:rsidRDefault="00F42CCD" w:rsidP="00CE24EF">
      <w:pPr>
        <w:jc w:val="both"/>
      </w:pPr>
    </w:p>
    <w:p w14:paraId="53D06BC3" w14:textId="77777777" w:rsidR="00F42CCD" w:rsidRDefault="00F42CCD" w:rsidP="00CE24EF">
      <w:pPr>
        <w:jc w:val="both"/>
      </w:pPr>
    </w:p>
    <w:p w14:paraId="3B624A83" w14:textId="77777777" w:rsidR="00F42CCD" w:rsidRDefault="00F42CCD" w:rsidP="00CE24EF">
      <w:pPr>
        <w:jc w:val="both"/>
      </w:pPr>
    </w:p>
    <w:p w14:paraId="2E369F6E" w14:textId="77777777" w:rsidR="00F42CCD" w:rsidRDefault="00F42CCD" w:rsidP="00CE24EF">
      <w:pPr>
        <w:jc w:val="both"/>
      </w:pPr>
    </w:p>
    <w:p w14:paraId="08A6B0F7" w14:textId="77777777" w:rsidR="00F42CCD" w:rsidRDefault="00F42CCD" w:rsidP="00CE24EF">
      <w:pPr>
        <w:jc w:val="both"/>
      </w:pPr>
    </w:p>
    <w:p w14:paraId="076681B5" w14:textId="77777777" w:rsidR="00F42CCD" w:rsidRDefault="00F42CCD" w:rsidP="00CE24EF">
      <w:pPr>
        <w:jc w:val="both"/>
      </w:pPr>
    </w:p>
    <w:p w14:paraId="1F01C8D0" w14:textId="77777777" w:rsidR="00F42CCD" w:rsidRDefault="00F42CCD" w:rsidP="00CE24EF">
      <w:pPr>
        <w:jc w:val="both"/>
      </w:pPr>
    </w:p>
    <w:p w14:paraId="60C1554D" w14:textId="77777777" w:rsidR="00F42CCD" w:rsidRDefault="00F42CCD" w:rsidP="00CE24EF">
      <w:pPr>
        <w:jc w:val="both"/>
      </w:pPr>
    </w:p>
    <w:p w14:paraId="350C5A46" w14:textId="77777777" w:rsidR="00F42CCD" w:rsidRDefault="00F42CCD" w:rsidP="00CE24EF">
      <w:pPr>
        <w:jc w:val="both"/>
      </w:pPr>
    </w:p>
    <w:p w14:paraId="50CF19B5" w14:textId="77777777" w:rsidR="00F42CCD" w:rsidRDefault="00F42CCD" w:rsidP="00CE24EF">
      <w:pPr>
        <w:jc w:val="both"/>
      </w:pPr>
    </w:p>
    <w:p w14:paraId="699FCD01" w14:textId="77777777" w:rsidR="00F42CCD" w:rsidRDefault="00F42CCD" w:rsidP="00CE24EF">
      <w:pPr>
        <w:jc w:val="both"/>
      </w:pPr>
    </w:p>
    <w:p w14:paraId="3D7859B2" w14:textId="77777777" w:rsidR="00F42CCD" w:rsidRDefault="00F42CCD" w:rsidP="00CE24EF">
      <w:pPr>
        <w:jc w:val="both"/>
      </w:pPr>
    </w:p>
    <w:p w14:paraId="582B9136" w14:textId="77777777" w:rsidR="00F42CCD" w:rsidRDefault="00F42CCD" w:rsidP="00CE24EF">
      <w:pPr>
        <w:jc w:val="both"/>
      </w:pPr>
    </w:p>
    <w:p w14:paraId="209F41BB" w14:textId="77777777" w:rsidR="00F42CCD" w:rsidRDefault="00F42CCD" w:rsidP="00CE24EF">
      <w:pPr>
        <w:jc w:val="both"/>
      </w:pPr>
    </w:p>
    <w:p w14:paraId="3484EC11" w14:textId="77777777" w:rsidR="00F42CCD" w:rsidRPr="00F42CCD" w:rsidRDefault="00F42CCD" w:rsidP="00F42CCD">
      <w:pPr>
        <w:jc w:val="both"/>
      </w:pPr>
      <w:r w:rsidRPr="00F42CCD">
        <w:rPr>
          <w:b/>
        </w:rPr>
        <w:lastRenderedPageBreak/>
        <w:t>La atención al usuario como eje fundamental del trabajo del auxiliar administrativo</w:t>
      </w:r>
    </w:p>
    <w:p w14:paraId="6A61071D" w14:textId="77777777" w:rsidR="00F42CCD" w:rsidRPr="00F42CCD" w:rsidRDefault="00F42CCD" w:rsidP="00F42CCD">
      <w:pPr>
        <w:jc w:val="both"/>
        <w:rPr>
          <w:b/>
        </w:rPr>
      </w:pPr>
      <w:r w:rsidRPr="00F42CCD">
        <w:rPr>
          <w:b/>
        </w:rPr>
        <w:t>Introducción</w:t>
      </w:r>
    </w:p>
    <w:p w14:paraId="275AD38E" w14:textId="77777777" w:rsidR="00F42CCD" w:rsidRPr="00F42CCD" w:rsidRDefault="00F42CCD" w:rsidP="00F42CCD">
      <w:pPr>
        <w:jc w:val="both"/>
      </w:pPr>
      <w:r w:rsidRPr="00F42CCD">
        <w:t>El auxiliar administrativo desempeña un papel esencial en el funcionamiento de las organizaciones, especialmente en los ámbitos sanitario, sociosanitario y de la administración pública. Entre sus principales funciones se encuentran la atención al usuario, la gestión documental, la tramitación administrativa, la organización de agendas y la comunicación entre los diferentes servicios.</w:t>
      </w:r>
    </w:p>
    <w:p w14:paraId="6272B744" w14:textId="77777777" w:rsidR="00F42CCD" w:rsidRPr="00F42CCD" w:rsidRDefault="00F42CCD" w:rsidP="00F42CCD">
      <w:pPr>
        <w:jc w:val="both"/>
      </w:pPr>
      <w:r w:rsidRPr="00F42CCD">
        <w:t>En muchas ocasiones, el auxiliar administrativo constituye el primer contacto que tienen los ciudadanos con la institución. La calidad de esta primera atención influye directamente en la imagen de la organización y en el grado de satisfacción de los usuarios. Una atención profesional, respetuosa y eficiente favorece la confianza, reduce la incertidumbre y facilita el acceso a los servicios.</w:t>
      </w:r>
    </w:p>
    <w:p w14:paraId="65ED8CE2" w14:textId="77777777" w:rsidR="00F42CCD" w:rsidRPr="00F42CCD" w:rsidRDefault="00F42CCD" w:rsidP="00F42CCD">
      <w:pPr>
        <w:jc w:val="both"/>
      </w:pPr>
      <w:r w:rsidRPr="00F42CCD">
        <w:t>Además de las competencias técnicas, el desempeño de este puesto requiere habilidades de comunicación, organización, empatía y resolución de problemas. La combinación de estas capacidades permite ofrecer un servicio de calidad y responder de manera adecuada a las necesidades de los usuarios.</w:t>
      </w:r>
    </w:p>
    <w:p w14:paraId="6542AA7E" w14:textId="77777777" w:rsidR="00F42CCD" w:rsidRPr="00F42CCD" w:rsidRDefault="00F42CCD" w:rsidP="00F42CCD">
      <w:pPr>
        <w:jc w:val="both"/>
        <w:rPr>
          <w:b/>
        </w:rPr>
      </w:pPr>
      <w:r w:rsidRPr="00F42CCD">
        <w:rPr>
          <w:b/>
        </w:rPr>
        <w:t>Objetivo</w:t>
      </w:r>
    </w:p>
    <w:p w14:paraId="49938F4C" w14:textId="77777777" w:rsidR="00F42CCD" w:rsidRPr="00F42CCD" w:rsidRDefault="00F42CCD" w:rsidP="00F42CCD">
      <w:pPr>
        <w:jc w:val="both"/>
      </w:pPr>
      <w:r w:rsidRPr="00F42CCD">
        <w:t>Analizar la importancia de la atención al usuario en el trabajo del auxiliar administrativo y describir las principales competencias necesarias para ofrecer un servicio eficaz, humanizado y de calidad.</w:t>
      </w:r>
    </w:p>
    <w:p w14:paraId="3CED2330" w14:textId="77777777" w:rsidR="00F42CCD" w:rsidRPr="00F42CCD" w:rsidRDefault="00F42CCD" w:rsidP="00F42CCD">
      <w:pPr>
        <w:jc w:val="both"/>
        <w:rPr>
          <w:b/>
        </w:rPr>
      </w:pPr>
      <w:r w:rsidRPr="00F42CCD">
        <w:rPr>
          <w:b/>
        </w:rPr>
        <w:t>Material y método</w:t>
      </w:r>
    </w:p>
    <w:p w14:paraId="706BB456" w14:textId="77777777" w:rsidR="00F42CCD" w:rsidRPr="00F42CCD" w:rsidRDefault="00F42CCD" w:rsidP="00F42CCD">
      <w:pPr>
        <w:jc w:val="both"/>
      </w:pPr>
      <w:r w:rsidRPr="00F42CCD">
        <w:t xml:space="preserve">Se realizó una revisión bibliográfica descriptiva mediante la consulta de artículos científicos, documentos técnicos y guías de calidad publicados entre 2015 y 2025. Las fuentes consultadas incluyeron PubMed, </w:t>
      </w:r>
      <w:proofErr w:type="spellStart"/>
      <w:r w:rsidRPr="00F42CCD">
        <w:t>Scopus</w:t>
      </w:r>
      <w:proofErr w:type="spellEnd"/>
      <w:r w:rsidRPr="00F42CCD">
        <w:t>, Google Scholar y publicaciones relacionadas con atención al usuario, gestión administrativa y calidad en los servicios públicos.</w:t>
      </w:r>
    </w:p>
    <w:p w14:paraId="6EF24784" w14:textId="77777777" w:rsidR="00F42CCD" w:rsidRPr="00F42CCD" w:rsidRDefault="00F42CCD" w:rsidP="00F42CCD">
      <w:pPr>
        <w:jc w:val="both"/>
      </w:pPr>
      <w:r w:rsidRPr="00F42CCD">
        <w:t>Se seleccionaron estudios centrados en comunicación interpersonal, satisfacción del usuario, organización administrativa y mejora continua de los procesos.</w:t>
      </w:r>
    </w:p>
    <w:p w14:paraId="5FAE91F4" w14:textId="77777777" w:rsidR="00F42CCD" w:rsidRPr="00F42CCD" w:rsidRDefault="00F42CCD" w:rsidP="00F42CCD">
      <w:pPr>
        <w:jc w:val="both"/>
        <w:rPr>
          <w:b/>
        </w:rPr>
      </w:pPr>
      <w:r w:rsidRPr="00F42CCD">
        <w:rPr>
          <w:b/>
        </w:rPr>
        <w:t>Resultados</w:t>
      </w:r>
    </w:p>
    <w:p w14:paraId="47223959" w14:textId="77777777" w:rsidR="00F42CCD" w:rsidRPr="00F42CCD" w:rsidRDefault="00F42CCD" w:rsidP="00F42CCD">
      <w:pPr>
        <w:jc w:val="both"/>
      </w:pPr>
      <w:r w:rsidRPr="00F42CCD">
        <w:t>La evidencia científica indica que la atención al usuario constituye uno de los principales factores que determinan la percepción de calidad de una organización. Los estudios muestran que un trato cordial, una comunicación clara y una adecuada capacidad de escucha mejoran significativamente la satisfacción de los usuarios.</w:t>
      </w:r>
    </w:p>
    <w:p w14:paraId="06FEE0E7" w14:textId="77777777" w:rsidR="00F42CCD" w:rsidRPr="00F42CCD" w:rsidRDefault="00F42CCD" w:rsidP="00F42CCD">
      <w:pPr>
        <w:jc w:val="both"/>
      </w:pPr>
      <w:r w:rsidRPr="00F42CCD">
        <w:lastRenderedPageBreak/>
        <w:t>En el ámbito sanitario, el auxiliar administrativo desempeña funciones relacionadas con la gestión de citas, recepción de pacientes, tramitación de documentación y orientación sobre procedimientos administrativos. Estas actividades requieren precisión, confidencialidad y capacidad para gestionar situaciones de elevada demanda.</w:t>
      </w:r>
    </w:p>
    <w:p w14:paraId="7B06C206" w14:textId="77777777" w:rsidR="00F42CCD" w:rsidRPr="00F42CCD" w:rsidRDefault="00F42CCD" w:rsidP="00F42CCD">
      <w:pPr>
        <w:jc w:val="both"/>
      </w:pPr>
      <w:r w:rsidRPr="00F42CCD">
        <w:t>La literatura científica destaca que las habilidades de comunicación son fundamentales para transmitir información de forma comprensible y evitar errores administrativos. Asimismo, la empatía y el respeto favorecen una relación de confianza, especialmente cuando los usuarios atraviesan situaciones de enfermedad o vulnerabilidad.</w:t>
      </w:r>
    </w:p>
    <w:p w14:paraId="4D4E64A7" w14:textId="77777777" w:rsidR="00F42CCD" w:rsidRPr="00F42CCD" w:rsidRDefault="00F42CCD" w:rsidP="00F42CCD">
      <w:pPr>
        <w:jc w:val="both"/>
      </w:pPr>
      <w:r w:rsidRPr="00F42CCD">
        <w:t>Otro aspecto relevante es la organización del trabajo. La planificación adecuada de las tareas, el manejo correcto de la documentación y el uso eficiente de las herramientas informáticas permiten reducir tiempos de espera y optimizar los procesos administrativos.</w:t>
      </w:r>
    </w:p>
    <w:p w14:paraId="537839E7" w14:textId="77777777" w:rsidR="00F42CCD" w:rsidRPr="00F42CCD" w:rsidRDefault="00F42CCD" w:rsidP="00F42CCD">
      <w:pPr>
        <w:jc w:val="both"/>
      </w:pPr>
      <w:r w:rsidRPr="00F42CCD">
        <w:t>Los estudios también señalan que la formación continua en atención al usuario, gestión documental y nuevas tecnologías mejora la competencia profesional y facilita la adaptación a los cambios organizativos.</w:t>
      </w:r>
    </w:p>
    <w:p w14:paraId="46522796" w14:textId="77777777" w:rsidR="00F42CCD" w:rsidRPr="00F42CCD" w:rsidRDefault="00F42CCD" w:rsidP="00F42CCD">
      <w:pPr>
        <w:jc w:val="both"/>
        <w:rPr>
          <w:b/>
        </w:rPr>
      </w:pPr>
      <w:r w:rsidRPr="00F42CCD">
        <w:rPr>
          <w:b/>
        </w:rPr>
        <w:t>Conclusiones</w:t>
      </w:r>
    </w:p>
    <w:p w14:paraId="58C58912" w14:textId="77777777" w:rsidR="00F42CCD" w:rsidRPr="00F42CCD" w:rsidRDefault="00F42CCD" w:rsidP="00F42CCD">
      <w:pPr>
        <w:jc w:val="both"/>
      </w:pPr>
      <w:r w:rsidRPr="00F42CCD">
        <w:t>La atención al usuario constituye una de las funciones más importantes del auxiliar administrativo y un elemento clave para garantizar la calidad de los servicios. Una comunicación eficaz, un trato respetuoso y una adecuada organización del trabajo contribuyen a mejorar la experiencia de los usuarios y el funcionamiento de las instituciones.</w:t>
      </w:r>
    </w:p>
    <w:p w14:paraId="2D2860BD" w14:textId="77777777" w:rsidR="00F42CCD" w:rsidRPr="00F42CCD" w:rsidRDefault="00F42CCD" w:rsidP="00F42CCD">
      <w:pPr>
        <w:jc w:val="both"/>
      </w:pPr>
      <w:r w:rsidRPr="00F42CCD">
        <w:t>El desarrollo de competencias técnicas y habilidades interpersonales permite ofrecer una atención más eficiente, humanizada y adaptada a las necesidades de la población.</w:t>
      </w:r>
    </w:p>
    <w:p w14:paraId="01140D67" w14:textId="77777777" w:rsidR="00F42CCD" w:rsidRPr="00F42CCD" w:rsidRDefault="00F42CCD" w:rsidP="00F42CCD">
      <w:pPr>
        <w:jc w:val="both"/>
      </w:pPr>
      <w:r w:rsidRPr="00F42CCD">
        <w:t>Las organizaciones deben fomentar la formación continua y promover una cultura de calidad orientada al usuario, favoreciendo el compromiso profesional y la mejora constante de los procesos administrativos.</w:t>
      </w:r>
    </w:p>
    <w:p w14:paraId="7952DA9E" w14:textId="77777777" w:rsidR="00F42CCD" w:rsidRPr="00F42CCD" w:rsidRDefault="00F42CCD" w:rsidP="00F42CCD">
      <w:pPr>
        <w:jc w:val="both"/>
        <w:rPr>
          <w:b/>
        </w:rPr>
      </w:pPr>
      <w:r w:rsidRPr="00F42CCD">
        <w:rPr>
          <w:b/>
        </w:rPr>
        <w:t>Bibliografía</w:t>
      </w:r>
    </w:p>
    <w:p w14:paraId="7A99D40F" w14:textId="77777777" w:rsidR="00F42CCD" w:rsidRPr="00F42CCD" w:rsidRDefault="00F42CCD" w:rsidP="00F42CCD">
      <w:pPr>
        <w:numPr>
          <w:ilvl w:val="0"/>
          <w:numId w:val="37"/>
        </w:numPr>
        <w:jc w:val="both"/>
      </w:pPr>
      <w:r w:rsidRPr="00F42CCD">
        <w:t>Ministerio para la Transformación Digital y de la Función Pública. (2024). *Guía de calidad en la atención a la ciudadanía*.</w:t>
      </w:r>
    </w:p>
    <w:p w14:paraId="7A694825" w14:textId="77777777" w:rsidR="00F42CCD" w:rsidRPr="00F42CCD" w:rsidRDefault="00F42CCD" w:rsidP="00F42CCD">
      <w:pPr>
        <w:numPr>
          <w:ilvl w:val="0"/>
          <w:numId w:val="37"/>
        </w:numPr>
        <w:jc w:val="both"/>
        <w:rPr>
          <w:lang w:val="en-GB"/>
        </w:rPr>
      </w:pPr>
      <w:r w:rsidRPr="00F42CCD">
        <w:t xml:space="preserve">Organización Mundial de la Salud. </w:t>
      </w:r>
      <w:r w:rsidRPr="00F42CCD">
        <w:rPr>
          <w:lang w:val="en-GB"/>
        </w:rPr>
        <w:t>(2023). *Framework on Integrated People-Centred Health Services*.</w:t>
      </w:r>
    </w:p>
    <w:p w14:paraId="3401A7A8" w14:textId="77777777" w:rsidR="00F42CCD" w:rsidRPr="00F42CCD" w:rsidRDefault="00F42CCD" w:rsidP="00F42CCD">
      <w:pPr>
        <w:numPr>
          <w:ilvl w:val="0"/>
          <w:numId w:val="37"/>
        </w:numPr>
        <w:jc w:val="both"/>
      </w:pPr>
      <w:r w:rsidRPr="00F42CCD">
        <w:rPr>
          <w:lang w:val="en-GB"/>
        </w:rPr>
        <w:t xml:space="preserve">Zeithaml, V. A., Bitner, M. J., &amp; Gremler, D. D. (2021). *Services Marketing: Integrating Customer Focus Across the Firm*. </w:t>
      </w:r>
      <w:r w:rsidRPr="00F42CCD">
        <w:t>McGraw-Hill.</w:t>
      </w:r>
    </w:p>
    <w:p w14:paraId="3E89A761" w14:textId="77777777" w:rsidR="00F42CCD" w:rsidRPr="00F42CCD" w:rsidRDefault="00F42CCD" w:rsidP="00F42CCD">
      <w:pPr>
        <w:numPr>
          <w:ilvl w:val="0"/>
          <w:numId w:val="37"/>
        </w:numPr>
        <w:jc w:val="both"/>
      </w:pPr>
      <w:r w:rsidRPr="00F42CCD">
        <w:rPr>
          <w:lang w:val="en-GB"/>
        </w:rPr>
        <w:lastRenderedPageBreak/>
        <w:t xml:space="preserve">Robbins, S. P., &amp; Judge, T. A. (2022). </w:t>
      </w:r>
      <w:r w:rsidRPr="00F42CCD">
        <w:t xml:space="preserve">*Comportamiento Organizacional*. Pearson </w:t>
      </w:r>
      <w:proofErr w:type="gramStart"/>
      <w:r w:rsidRPr="00F42CCD">
        <w:t>Educación.*</w:t>
      </w:r>
      <w:proofErr w:type="gramEnd"/>
      <w:r w:rsidRPr="00F42CCD">
        <w:t xml:space="preserve"> Instituto Nacional de Administración Pública (INAP). (2023). *Calidad y atención a la ciudadanía en las administraciones públicas*.</w:t>
      </w:r>
    </w:p>
    <w:p w14:paraId="34FCF974" w14:textId="77777777" w:rsidR="00F42CCD" w:rsidRDefault="00F42CCD" w:rsidP="00CE24EF">
      <w:pPr>
        <w:jc w:val="both"/>
      </w:pPr>
    </w:p>
    <w:p w14:paraId="6F355A85" w14:textId="77777777" w:rsidR="003B40EB" w:rsidRDefault="003B40EB" w:rsidP="00CE24EF">
      <w:pPr>
        <w:jc w:val="both"/>
      </w:pPr>
    </w:p>
    <w:p w14:paraId="3170BAB5" w14:textId="77777777" w:rsidR="003B40EB" w:rsidRDefault="003B40EB" w:rsidP="00CE24EF">
      <w:pPr>
        <w:jc w:val="both"/>
      </w:pPr>
    </w:p>
    <w:p w14:paraId="346E0631" w14:textId="77777777" w:rsidR="003B40EB" w:rsidRDefault="003B40EB" w:rsidP="00CE24EF">
      <w:pPr>
        <w:jc w:val="both"/>
      </w:pPr>
    </w:p>
    <w:p w14:paraId="4C618CFA" w14:textId="77777777" w:rsidR="003B40EB" w:rsidRDefault="003B40EB" w:rsidP="00CE24EF">
      <w:pPr>
        <w:jc w:val="both"/>
      </w:pPr>
    </w:p>
    <w:p w14:paraId="681FFFF5" w14:textId="77777777" w:rsidR="003B40EB" w:rsidRDefault="003B40EB" w:rsidP="00CE24EF">
      <w:pPr>
        <w:jc w:val="both"/>
      </w:pPr>
    </w:p>
    <w:p w14:paraId="7BBF56CE" w14:textId="77777777" w:rsidR="003B40EB" w:rsidRDefault="003B40EB" w:rsidP="00CE24EF">
      <w:pPr>
        <w:jc w:val="both"/>
      </w:pPr>
    </w:p>
    <w:p w14:paraId="13945197" w14:textId="77777777" w:rsidR="003B40EB" w:rsidRDefault="003B40EB" w:rsidP="00CE24EF">
      <w:pPr>
        <w:jc w:val="both"/>
      </w:pPr>
    </w:p>
    <w:p w14:paraId="02E43459" w14:textId="77777777" w:rsidR="003B40EB" w:rsidRDefault="003B40EB" w:rsidP="00CE24EF">
      <w:pPr>
        <w:jc w:val="both"/>
      </w:pPr>
    </w:p>
    <w:p w14:paraId="5E371C79" w14:textId="77777777" w:rsidR="003B40EB" w:rsidRDefault="003B40EB" w:rsidP="00CE24EF">
      <w:pPr>
        <w:jc w:val="both"/>
      </w:pPr>
    </w:p>
    <w:p w14:paraId="1E59B358" w14:textId="77777777" w:rsidR="003B40EB" w:rsidRDefault="003B40EB" w:rsidP="00CE24EF">
      <w:pPr>
        <w:jc w:val="both"/>
      </w:pPr>
    </w:p>
    <w:p w14:paraId="6A91A920" w14:textId="77777777" w:rsidR="003B40EB" w:rsidRDefault="003B40EB" w:rsidP="00CE24EF">
      <w:pPr>
        <w:jc w:val="both"/>
      </w:pPr>
    </w:p>
    <w:p w14:paraId="5CBDC22D" w14:textId="77777777" w:rsidR="003B40EB" w:rsidRDefault="003B40EB" w:rsidP="00CE24EF">
      <w:pPr>
        <w:jc w:val="both"/>
      </w:pPr>
    </w:p>
    <w:p w14:paraId="034F7237" w14:textId="77777777" w:rsidR="003B40EB" w:rsidRDefault="003B40EB" w:rsidP="00CE24EF">
      <w:pPr>
        <w:jc w:val="both"/>
      </w:pPr>
    </w:p>
    <w:p w14:paraId="5A050075" w14:textId="77777777" w:rsidR="003B40EB" w:rsidRDefault="003B40EB" w:rsidP="00CE24EF">
      <w:pPr>
        <w:jc w:val="both"/>
      </w:pPr>
    </w:p>
    <w:p w14:paraId="562C80AF" w14:textId="77777777" w:rsidR="003B40EB" w:rsidRDefault="003B40EB" w:rsidP="00CE24EF">
      <w:pPr>
        <w:jc w:val="both"/>
      </w:pPr>
    </w:p>
    <w:p w14:paraId="4996AF69" w14:textId="77777777" w:rsidR="003B40EB" w:rsidRDefault="003B40EB" w:rsidP="00CE24EF">
      <w:pPr>
        <w:jc w:val="both"/>
      </w:pPr>
    </w:p>
    <w:p w14:paraId="4B6E6F1F" w14:textId="77777777" w:rsidR="003B40EB" w:rsidRDefault="003B40EB" w:rsidP="00CE24EF">
      <w:pPr>
        <w:jc w:val="both"/>
      </w:pPr>
    </w:p>
    <w:p w14:paraId="1D890EA0" w14:textId="77777777" w:rsidR="003B40EB" w:rsidRDefault="003B40EB" w:rsidP="00CE24EF">
      <w:pPr>
        <w:jc w:val="both"/>
      </w:pPr>
    </w:p>
    <w:p w14:paraId="3EB1731B" w14:textId="77777777" w:rsidR="003B40EB" w:rsidRDefault="003B40EB" w:rsidP="00CE24EF">
      <w:pPr>
        <w:jc w:val="both"/>
      </w:pPr>
    </w:p>
    <w:p w14:paraId="77A9EEB1" w14:textId="77777777" w:rsidR="003B40EB" w:rsidRDefault="003B40EB" w:rsidP="00CE24EF">
      <w:pPr>
        <w:jc w:val="both"/>
      </w:pPr>
    </w:p>
    <w:p w14:paraId="5276078B" w14:textId="77777777" w:rsidR="003B40EB" w:rsidRDefault="003B40EB" w:rsidP="00CE24EF">
      <w:pPr>
        <w:jc w:val="both"/>
      </w:pPr>
    </w:p>
    <w:p w14:paraId="102E935C" w14:textId="77777777" w:rsidR="003B40EB" w:rsidRDefault="003B40EB" w:rsidP="00CE24EF">
      <w:pPr>
        <w:jc w:val="both"/>
      </w:pPr>
    </w:p>
    <w:p w14:paraId="2554AB7B" w14:textId="77777777" w:rsidR="003B40EB" w:rsidRDefault="003B40EB" w:rsidP="00CE24EF">
      <w:pPr>
        <w:jc w:val="both"/>
      </w:pPr>
    </w:p>
    <w:p w14:paraId="7D131D73" w14:textId="77777777" w:rsidR="003B40EB" w:rsidRDefault="003B40EB" w:rsidP="00CE24EF">
      <w:pPr>
        <w:jc w:val="both"/>
      </w:pPr>
    </w:p>
    <w:p w14:paraId="632A1C12" w14:textId="77777777" w:rsidR="003B40EB" w:rsidRDefault="003B40EB" w:rsidP="00CE24EF">
      <w:pPr>
        <w:jc w:val="both"/>
      </w:pPr>
    </w:p>
    <w:p w14:paraId="2698B381" w14:textId="77777777" w:rsidR="003B40EB" w:rsidRDefault="003B40EB" w:rsidP="003B40EB">
      <w:pPr>
        <w:jc w:val="both"/>
        <w:rPr>
          <w:b/>
        </w:rPr>
      </w:pPr>
      <w:r w:rsidRPr="003B40EB">
        <w:rPr>
          <w:b/>
        </w:rPr>
        <w:lastRenderedPageBreak/>
        <w:t>La gestión documental como elemento esencial en el trabajo del auxiliar administrativo</w:t>
      </w:r>
    </w:p>
    <w:p w14:paraId="75B31F4F" w14:textId="11167BD1" w:rsidR="003B40EB" w:rsidRPr="003B40EB" w:rsidRDefault="003B40EB" w:rsidP="003B40EB">
      <w:pPr>
        <w:jc w:val="both"/>
        <w:rPr>
          <w:b/>
        </w:rPr>
      </w:pPr>
      <w:r w:rsidRPr="003B40EB">
        <w:rPr>
          <w:b/>
        </w:rPr>
        <w:t xml:space="preserve"> Introducción</w:t>
      </w:r>
    </w:p>
    <w:p w14:paraId="73C5163A" w14:textId="77777777" w:rsidR="003B40EB" w:rsidRPr="003B40EB" w:rsidRDefault="003B40EB" w:rsidP="003B40EB">
      <w:pPr>
        <w:jc w:val="both"/>
      </w:pPr>
      <w:r w:rsidRPr="003B40EB">
        <w:t>La gestión documental es una de las funciones más importantes del auxiliar administrativo, ya que permite organizar, clasificar, almacenar y recuperar la información necesaria para el correcto funcionamiento de cualquier organización. En el ámbito sanitario, empresarial o de la administración pública, una adecuada gestión de la documentación favorece la continuidad de los procesos, mejora la calidad del servicio y facilita la toma de decisiones.</w:t>
      </w:r>
    </w:p>
    <w:p w14:paraId="6AF2AB13" w14:textId="77777777" w:rsidR="003B40EB" w:rsidRPr="003B40EB" w:rsidRDefault="003B40EB" w:rsidP="003B40EB">
      <w:pPr>
        <w:jc w:val="both"/>
      </w:pPr>
      <w:r w:rsidRPr="003B40EB">
        <w:t>El incremento de la documentación en formato digital ha transformado el trabajo administrativo, exigiendo nuevas competencias relacionadas con el manejo de aplicaciones informáticas, la protección de datos y la organización electrónica de la información. No obstante, los principios básicos de orden, precisión y confidencialidad continúan siendo fundamentales.</w:t>
      </w:r>
    </w:p>
    <w:p w14:paraId="7A99E96A" w14:textId="77777777" w:rsidR="003B40EB" w:rsidRPr="003B40EB" w:rsidRDefault="003B40EB" w:rsidP="003B40EB">
      <w:pPr>
        <w:jc w:val="both"/>
      </w:pPr>
      <w:r w:rsidRPr="003B40EB">
        <w:t>Los errores en la gestión documental pueden ocasionar retrasos, pérdida de información, incumplimientos normativos e incluso afectar a la atención de los usuarios. Por ello, el auxiliar administrativo debe desarrollar procedimientos de trabajo sistemáticos que garanticen la trazabilidad y disponibilidad de la documentación.</w:t>
      </w:r>
    </w:p>
    <w:p w14:paraId="7D9C8EE6" w14:textId="77777777" w:rsidR="003B40EB" w:rsidRPr="003B40EB" w:rsidRDefault="003B40EB" w:rsidP="003B40EB">
      <w:pPr>
        <w:jc w:val="both"/>
        <w:rPr>
          <w:b/>
        </w:rPr>
      </w:pPr>
      <w:r w:rsidRPr="003B40EB">
        <w:rPr>
          <w:b/>
        </w:rPr>
        <w:t>Objetivo</w:t>
      </w:r>
    </w:p>
    <w:p w14:paraId="7A231672" w14:textId="77777777" w:rsidR="003B40EB" w:rsidRPr="003B40EB" w:rsidRDefault="003B40EB" w:rsidP="003B40EB">
      <w:pPr>
        <w:jc w:val="both"/>
      </w:pPr>
      <w:r w:rsidRPr="003B40EB">
        <w:t>Analizar la importancia de la gestión documental en el trabajo del auxiliar administrativo y describir las principales estrategias para mejorar la organización, la eficiencia y la seguridad de la información.</w:t>
      </w:r>
    </w:p>
    <w:p w14:paraId="2F210E39" w14:textId="77777777" w:rsidR="003B40EB" w:rsidRPr="003B40EB" w:rsidRDefault="003B40EB" w:rsidP="003B40EB">
      <w:pPr>
        <w:jc w:val="both"/>
        <w:rPr>
          <w:b/>
        </w:rPr>
      </w:pPr>
      <w:r w:rsidRPr="003B40EB">
        <w:rPr>
          <w:b/>
        </w:rPr>
        <w:t>Material y método</w:t>
      </w:r>
    </w:p>
    <w:p w14:paraId="222B6F75" w14:textId="77777777" w:rsidR="003B40EB" w:rsidRPr="003B40EB" w:rsidRDefault="003B40EB" w:rsidP="003B40EB">
      <w:pPr>
        <w:jc w:val="both"/>
      </w:pPr>
      <w:r w:rsidRPr="003B40EB">
        <w:t xml:space="preserve">Se realizó una revisión bibliográfica descriptiva mediante la consulta de artículos científicos, manuales técnicos y documentos institucionales publicados entre 2015 y 2025. Las fuentes consultadas incluyeron Google Scholar, </w:t>
      </w:r>
      <w:proofErr w:type="spellStart"/>
      <w:r w:rsidRPr="003B40EB">
        <w:t>Scopus</w:t>
      </w:r>
      <w:proofErr w:type="spellEnd"/>
      <w:r w:rsidRPr="003B40EB">
        <w:t xml:space="preserve"> y publicaciones especializadas en administración, gestión documental y calidad organizativa.</w:t>
      </w:r>
    </w:p>
    <w:p w14:paraId="775FB1AB" w14:textId="77777777" w:rsidR="003B40EB" w:rsidRPr="003B40EB" w:rsidRDefault="003B40EB" w:rsidP="003B40EB">
      <w:pPr>
        <w:jc w:val="both"/>
      </w:pPr>
      <w:r w:rsidRPr="003B40EB">
        <w:t>Se seleccionaron estudios relacionados con archivo, digitalización de documentos, administración electrónica y organización de la información.</w:t>
      </w:r>
    </w:p>
    <w:p w14:paraId="2D2FE8FB" w14:textId="77777777" w:rsidR="003B40EB" w:rsidRPr="003B40EB" w:rsidRDefault="003B40EB" w:rsidP="003B40EB">
      <w:pPr>
        <w:jc w:val="both"/>
        <w:rPr>
          <w:b/>
        </w:rPr>
      </w:pPr>
      <w:r w:rsidRPr="003B40EB">
        <w:rPr>
          <w:b/>
        </w:rPr>
        <w:t>Resultados</w:t>
      </w:r>
    </w:p>
    <w:p w14:paraId="2209A267" w14:textId="77777777" w:rsidR="003B40EB" w:rsidRPr="003B40EB" w:rsidRDefault="003B40EB" w:rsidP="003B40EB">
      <w:pPr>
        <w:jc w:val="both"/>
      </w:pPr>
      <w:r w:rsidRPr="003B40EB">
        <w:t xml:space="preserve">La evidencia científica indica que una adecuada gestión documental mejora la eficiencia administrativa y reduce significativamente los errores derivados de la pérdida o duplicidad de información. Los estudios destacan que la implantación de </w:t>
      </w:r>
      <w:r w:rsidRPr="003B40EB">
        <w:lastRenderedPageBreak/>
        <w:t>procedimientos normalizados facilita la localización rápida de documentos y optimiza los tiempos de trabajo.</w:t>
      </w:r>
    </w:p>
    <w:p w14:paraId="66A80C41" w14:textId="77777777" w:rsidR="003B40EB" w:rsidRPr="003B40EB" w:rsidRDefault="003B40EB" w:rsidP="003B40EB">
      <w:pPr>
        <w:jc w:val="both"/>
      </w:pPr>
      <w:r w:rsidRPr="003B40EB">
        <w:t>Entre las funciones principales del auxiliar administrativo destacan la clasificación de expedientes, el registro de documentos, el archivo físico y electrónico, la actualización de bases de datos y el control de la documentación recibida y emitida.</w:t>
      </w:r>
    </w:p>
    <w:p w14:paraId="57EAF45A" w14:textId="77777777" w:rsidR="003B40EB" w:rsidRPr="003B40EB" w:rsidRDefault="003B40EB" w:rsidP="003B40EB">
      <w:pPr>
        <w:jc w:val="both"/>
      </w:pPr>
      <w:r w:rsidRPr="003B40EB">
        <w:t>La digitalización de los procesos administrativos ha permitido mejorar la accesibilidad a la información y reducir el uso del papel. Sin embargo, los estudios señalan la necesidad de mantener criterios homogéneos de organización, nomenclatura de archivos y control de versiones para evitar errores.</w:t>
      </w:r>
    </w:p>
    <w:p w14:paraId="6BACF942" w14:textId="77777777" w:rsidR="003B40EB" w:rsidRPr="003B40EB" w:rsidRDefault="003B40EB" w:rsidP="003B40EB">
      <w:pPr>
        <w:jc w:val="both"/>
      </w:pPr>
      <w:r w:rsidRPr="003B40EB">
        <w:t>Otro aspecto relevante es la protección de la información. El personal administrativo debe garantizar la confidencialidad de los datos, controlar el acceso a la documentación y cumplir la normativa vigente sobre protección de datos personales.</w:t>
      </w:r>
    </w:p>
    <w:p w14:paraId="65E34DA3" w14:textId="77777777" w:rsidR="003B40EB" w:rsidRPr="003B40EB" w:rsidRDefault="003B40EB" w:rsidP="003B40EB">
      <w:pPr>
        <w:jc w:val="both"/>
      </w:pPr>
      <w:r w:rsidRPr="003B40EB">
        <w:t>La formación continuada en herramientas informáticas, administración electrónica y gestión documental se asocia con una mayor productividad y una mejor adaptación a los cambios tecnológicos.</w:t>
      </w:r>
    </w:p>
    <w:p w14:paraId="5C265F5F" w14:textId="77777777" w:rsidR="003B40EB" w:rsidRPr="003B40EB" w:rsidRDefault="003B40EB" w:rsidP="003B40EB">
      <w:pPr>
        <w:jc w:val="both"/>
        <w:rPr>
          <w:b/>
        </w:rPr>
      </w:pPr>
      <w:r w:rsidRPr="003B40EB">
        <w:rPr>
          <w:b/>
        </w:rPr>
        <w:t>Conclusiones</w:t>
      </w:r>
    </w:p>
    <w:p w14:paraId="4725B4B3" w14:textId="77777777" w:rsidR="003B40EB" w:rsidRPr="003B40EB" w:rsidRDefault="003B40EB" w:rsidP="003B40EB">
      <w:pPr>
        <w:jc w:val="both"/>
      </w:pPr>
      <w:r w:rsidRPr="003B40EB">
        <w:t>La gestión documental constituye una competencia esencial para el auxiliar administrativo y un elemento clave para el funcionamiento eficiente de cualquier organización. La correcta organización de la información facilita el desarrollo de los procesos administrativos, mejora la calidad del servicio y favorece la toma de decisiones.</w:t>
      </w:r>
    </w:p>
    <w:p w14:paraId="0C92142B" w14:textId="77777777" w:rsidR="003B40EB" w:rsidRPr="003B40EB" w:rsidRDefault="003B40EB" w:rsidP="003B40EB">
      <w:pPr>
        <w:jc w:val="both"/>
      </w:pPr>
      <w:r w:rsidRPr="003B40EB">
        <w:t>La incorporación de sistemas digitales, junto con la aplicación de procedimientos normalizados y el respeto a la confidencialidad de la información, permite incrementar la seguridad y la eficacia en el trabajo diario.</w:t>
      </w:r>
    </w:p>
    <w:p w14:paraId="5B1C60A1" w14:textId="77777777" w:rsidR="003B40EB" w:rsidRPr="003B40EB" w:rsidRDefault="003B40EB" w:rsidP="003B40EB">
      <w:pPr>
        <w:jc w:val="both"/>
      </w:pPr>
      <w:r w:rsidRPr="003B40EB">
        <w:t>La formación continua y la actualización de conocimientos en gestión documental son fundamentales para responder a las nuevas necesidades de la administración moderna y ofrecer un servicio de calidad a los ciudadanos.</w:t>
      </w:r>
    </w:p>
    <w:p w14:paraId="6AB3E45E" w14:textId="77777777" w:rsidR="003B40EB" w:rsidRPr="003B40EB" w:rsidRDefault="003B40EB" w:rsidP="003B40EB">
      <w:pPr>
        <w:jc w:val="both"/>
        <w:rPr>
          <w:b/>
        </w:rPr>
      </w:pPr>
      <w:r w:rsidRPr="003B40EB">
        <w:rPr>
          <w:b/>
        </w:rPr>
        <w:t>Bibliografía</w:t>
      </w:r>
    </w:p>
    <w:p w14:paraId="124CC8DC" w14:textId="77777777" w:rsidR="003B40EB" w:rsidRPr="003B40EB" w:rsidRDefault="003B40EB" w:rsidP="003B40EB">
      <w:pPr>
        <w:numPr>
          <w:ilvl w:val="0"/>
          <w:numId w:val="38"/>
        </w:numPr>
        <w:jc w:val="both"/>
      </w:pPr>
      <w:r w:rsidRPr="003B40EB">
        <w:t>Ministerio para la Transformación Digital y de la Función Pública. (2024). *Administración electrónica y gestión documental*.</w:t>
      </w:r>
    </w:p>
    <w:p w14:paraId="26C26A2D" w14:textId="77777777" w:rsidR="003B40EB" w:rsidRPr="003B40EB" w:rsidRDefault="003B40EB" w:rsidP="003B40EB">
      <w:pPr>
        <w:numPr>
          <w:ilvl w:val="0"/>
          <w:numId w:val="38"/>
        </w:numPr>
        <w:jc w:val="both"/>
        <w:rPr>
          <w:lang w:val="en-GB"/>
        </w:rPr>
      </w:pPr>
      <w:r w:rsidRPr="003B40EB">
        <w:t xml:space="preserve">Organización Internacional de Normalización. ISO 15489-1:2016. </w:t>
      </w:r>
      <w:r w:rsidRPr="003B40EB">
        <w:rPr>
          <w:lang w:val="en-GB"/>
        </w:rPr>
        <w:t>*Information and Documentation – Records Management*.</w:t>
      </w:r>
    </w:p>
    <w:p w14:paraId="0B701A6A" w14:textId="77777777" w:rsidR="003B40EB" w:rsidRPr="003B40EB" w:rsidRDefault="003B40EB" w:rsidP="003B40EB">
      <w:pPr>
        <w:numPr>
          <w:ilvl w:val="0"/>
          <w:numId w:val="38"/>
        </w:numPr>
        <w:jc w:val="both"/>
      </w:pPr>
      <w:r w:rsidRPr="003B40EB">
        <w:lastRenderedPageBreak/>
        <w:t>Cruz Mundet, J. R. (2020). *Gestión de documentos y administración electrónica*. Ediciones Trea.</w:t>
      </w:r>
    </w:p>
    <w:p w14:paraId="66B214B8" w14:textId="77777777" w:rsidR="003B40EB" w:rsidRPr="003B40EB" w:rsidRDefault="003B40EB" w:rsidP="003B40EB">
      <w:pPr>
        <w:numPr>
          <w:ilvl w:val="0"/>
          <w:numId w:val="38"/>
        </w:numPr>
        <w:jc w:val="both"/>
        <w:rPr>
          <w:lang w:val="en-GB"/>
        </w:rPr>
      </w:pPr>
      <w:r w:rsidRPr="003B40EB">
        <w:rPr>
          <w:lang w:val="en-GB"/>
        </w:rPr>
        <w:t xml:space="preserve">Shepherd, E., &amp; Yeo, G. (2022). *Managing Records: A Handbook of Principles and Practice*. </w:t>
      </w:r>
    </w:p>
    <w:p w14:paraId="58D1CA3B" w14:textId="77777777" w:rsidR="003B40EB" w:rsidRPr="003B40EB" w:rsidRDefault="003B40EB" w:rsidP="003B40EB">
      <w:pPr>
        <w:jc w:val="both"/>
      </w:pPr>
      <w:proofErr w:type="spellStart"/>
      <w:r w:rsidRPr="003B40EB">
        <w:t>Facet</w:t>
      </w:r>
      <w:proofErr w:type="spellEnd"/>
      <w:r w:rsidRPr="003B40EB">
        <w:t xml:space="preserve"> Publishing.</w:t>
      </w:r>
    </w:p>
    <w:p w14:paraId="03482F26" w14:textId="77777777" w:rsidR="003B40EB" w:rsidRPr="003B40EB" w:rsidRDefault="003B40EB" w:rsidP="003B40EB">
      <w:pPr>
        <w:numPr>
          <w:ilvl w:val="0"/>
          <w:numId w:val="38"/>
        </w:numPr>
        <w:jc w:val="both"/>
      </w:pPr>
      <w:r w:rsidRPr="003B40EB">
        <w:t>Instituto Nacional de Administración Pública (INAP). (2023). *Manual de gestión documental para las administraciones públicas*.</w:t>
      </w:r>
    </w:p>
    <w:p w14:paraId="1AA614F7" w14:textId="77777777" w:rsidR="003B40EB" w:rsidRDefault="003B40EB" w:rsidP="00CE24EF">
      <w:pPr>
        <w:jc w:val="both"/>
      </w:pPr>
    </w:p>
    <w:p w14:paraId="788BE914" w14:textId="77777777" w:rsidR="003B40EB" w:rsidRDefault="003B40EB" w:rsidP="00CE24EF">
      <w:pPr>
        <w:jc w:val="both"/>
      </w:pPr>
    </w:p>
    <w:p w14:paraId="1606942C" w14:textId="77777777" w:rsidR="003B40EB" w:rsidRDefault="003B40EB" w:rsidP="00CE24EF">
      <w:pPr>
        <w:jc w:val="both"/>
      </w:pPr>
    </w:p>
    <w:p w14:paraId="60469853" w14:textId="77777777" w:rsidR="003B40EB" w:rsidRDefault="003B40EB" w:rsidP="00CE24EF">
      <w:pPr>
        <w:jc w:val="both"/>
      </w:pPr>
    </w:p>
    <w:p w14:paraId="51A72167" w14:textId="77777777" w:rsidR="003B40EB" w:rsidRDefault="003B40EB" w:rsidP="00CE24EF">
      <w:pPr>
        <w:jc w:val="both"/>
      </w:pPr>
    </w:p>
    <w:p w14:paraId="45F441B5" w14:textId="77777777" w:rsidR="003B40EB" w:rsidRDefault="003B40EB" w:rsidP="00CE24EF">
      <w:pPr>
        <w:jc w:val="both"/>
      </w:pPr>
    </w:p>
    <w:p w14:paraId="298DDDEF" w14:textId="77777777" w:rsidR="003B40EB" w:rsidRDefault="003B40EB" w:rsidP="00CE24EF">
      <w:pPr>
        <w:jc w:val="both"/>
      </w:pPr>
    </w:p>
    <w:p w14:paraId="705463B3" w14:textId="77777777" w:rsidR="003B40EB" w:rsidRDefault="003B40EB" w:rsidP="00CE24EF">
      <w:pPr>
        <w:jc w:val="both"/>
      </w:pPr>
    </w:p>
    <w:p w14:paraId="3DBC70AB" w14:textId="77777777" w:rsidR="003B40EB" w:rsidRDefault="003B40EB" w:rsidP="00CE24EF">
      <w:pPr>
        <w:jc w:val="both"/>
      </w:pPr>
    </w:p>
    <w:p w14:paraId="5386ADE7" w14:textId="77777777" w:rsidR="003B40EB" w:rsidRDefault="003B40EB" w:rsidP="00CE24EF">
      <w:pPr>
        <w:jc w:val="both"/>
      </w:pPr>
    </w:p>
    <w:p w14:paraId="1F40A051" w14:textId="77777777" w:rsidR="003B40EB" w:rsidRDefault="003B40EB" w:rsidP="00CE24EF">
      <w:pPr>
        <w:jc w:val="both"/>
      </w:pPr>
    </w:p>
    <w:p w14:paraId="475A599A" w14:textId="77777777" w:rsidR="003B40EB" w:rsidRDefault="003B40EB" w:rsidP="00CE24EF">
      <w:pPr>
        <w:jc w:val="both"/>
      </w:pPr>
    </w:p>
    <w:p w14:paraId="6BEB779F" w14:textId="77777777" w:rsidR="003B40EB" w:rsidRDefault="003B40EB" w:rsidP="00CE24EF">
      <w:pPr>
        <w:jc w:val="both"/>
      </w:pPr>
    </w:p>
    <w:p w14:paraId="4918FD11" w14:textId="77777777" w:rsidR="003B40EB" w:rsidRDefault="003B40EB" w:rsidP="00CE24EF">
      <w:pPr>
        <w:jc w:val="both"/>
      </w:pPr>
    </w:p>
    <w:p w14:paraId="51EC4CBD" w14:textId="77777777" w:rsidR="003B40EB" w:rsidRDefault="003B40EB" w:rsidP="00CE24EF">
      <w:pPr>
        <w:jc w:val="both"/>
      </w:pPr>
    </w:p>
    <w:p w14:paraId="10FB7FC5" w14:textId="77777777" w:rsidR="003B40EB" w:rsidRDefault="003B40EB" w:rsidP="00CE24EF">
      <w:pPr>
        <w:jc w:val="both"/>
      </w:pPr>
    </w:p>
    <w:p w14:paraId="01206328" w14:textId="77777777" w:rsidR="003B40EB" w:rsidRDefault="003B40EB" w:rsidP="00CE24EF">
      <w:pPr>
        <w:jc w:val="both"/>
      </w:pPr>
    </w:p>
    <w:p w14:paraId="5D3EE0A0" w14:textId="77777777" w:rsidR="003B40EB" w:rsidRDefault="003B40EB" w:rsidP="00CE24EF">
      <w:pPr>
        <w:jc w:val="both"/>
      </w:pPr>
    </w:p>
    <w:p w14:paraId="33E11707" w14:textId="77777777" w:rsidR="003B40EB" w:rsidRDefault="003B40EB" w:rsidP="00CE24EF">
      <w:pPr>
        <w:jc w:val="both"/>
      </w:pPr>
    </w:p>
    <w:p w14:paraId="11AEC207" w14:textId="77777777" w:rsidR="003B40EB" w:rsidRDefault="003B40EB" w:rsidP="00CE24EF">
      <w:pPr>
        <w:jc w:val="both"/>
      </w:pPr>
    </w:p>
    <w:p w14:paraId="1F94FCA3" w14:textId="77777777" w:rsidR="003B40EB" w:rsidRDefault="003B40EB" w:rsidP="00CE24EF">
      <w:pPr>
        <w:jc w:val="both"/>
      </w:pPr>
    </w:p>
    <w:p w14:paraId="4A1EC051" w14:textId="77777777" w:rsidR="003B40EB" w:rsidRDefault="003B40EB" w:rsidP="00CE24EF">
      <w:pPr>
        <w:jc w:val="both"/>
      </w:pPr>
    </w:p>
    <w:p w14:paraId="4CCF1593" w14:textId="77777777" w:rsidR="00DB307A" w:rsidRDefault="00DB307A" w:rsidP="00DB307A">
      <w:pPr>
        <w:jc w:val="both"/>
        <w:rPr>
          <w:b/>
        </w:rPr>
      </w:pPr>
      <w:r w:rsidRPr="00DB307A">
        <w:rPr>
          <w:b/>
        </w:rPr>
        <w:lastRenderedPageBreak/>
        <w:t>Comunicación telefónica eficaz: una competencia esencial para el auxiliar administrativo</w:t>
      </w:r>
    </w:p>
    <w:p w14:paraId="4A5D86A7" w14:textId="7FDFEE8A" w:rsidR="00DB307A" w:rsidRPr="00DB307A" w:rsidRDefault="00DB307A" w:rsidP="00DB307A">
      <w:pPr>
        <w:jc w:val="both"/>
        <w:rPr>
          <w:b/>
        </w:rPr>
      </w:pPr>
      <w:r w:rsidRPr="00DB307A">
        <w:rPr>
          <w:b/>
        </w:rPr>
        <w:t xml:space="preserve"> Introducción</w:t>
      </w:r>
    </w:p>
    <w:p w14:paraId="010387C5" w14:textId="77777777" w:rsidR="00DB307A" w:rsidRPr="00DB307A" w:rsidRDefault="00DB307A" w:rsidP="00DB307A">
      <w:pPr>
        <w:jc w:val="both"/>
      </w:pPr>
      <w:r w:rsidRPr="00DB307A">
        <w:t>La comunicación telefónica continúa siendo una de las principales herramientas de atención al público en numerosos organismos públicos, centros sanitarios, empresas y entidades privadas. En este contexto, el auxiliar administrativo desempeña un papel fundamental como primer punto de contacto entre la organización y los usuarios, proporcionando información, gestionando citas y resolviendo consultas.</w:t>
      </w:r>
    </w:p>
    <w:p w14:paraId="7F7C2E89" w14:textId="77777777" w:rsidR="00DB307A" w:rsidRPr="00DB307A" w:rsidRDefault="00DB307A" w:rsidP="00DB307A">
      <w:pPr>
        <w:jc w:val="both"/>
      </w:pPr>
      <w:r w:rsidRPr="00DB307A">
        <w:t>Una atención telefónica de calidad contribuye a mejorar la imagen institucional, aumentar la satisfacción de los usuarios y optimizar el funcionamiento de los servicios. Por el contrario, una comunicación poco clara o inadecuada puede generar malentendidos, retrasos y una percepción negativa de la organización.</w:t>
      </w:r>
    </w:p>
    <w:p w14:paraId="5A1230C9" w14:textId="77777777" w:rsidR="00DB307A" w:rsidRPr="00DB307A" w:rsidRDefault="00DB307A" w:rsidP="00DB307A">
      <w:pPr>
        <w:jc w:val="both"/>
      </w:pPr>
      <w:r w:rsidRPr="00DB307A">
        <w:t>Además de transmitir información, la atención telefónica requiere habilidades como la escucha activa, la empatía, la capacidad de organización y el manejo adecuado de situaciones complejas. Estas competencias permiten ofrecer un servicio profesional, eficaz y orientado a las necesidades de los ciudadanos.</w:t>
      </w:r>
    </w:p>
    <w:p w14:paraId="06E66D82" w14:textId="77777777" w:rsidR="00DB307A" w:rsidRPr="00DB307A" w:rsidRDefault="00DB307A" w:rsidP="00DB307A">
      <w:pPr>
        <w:jc w:val="both"/>
        <w:rPr>
          <w:b/>
        </w:rPr>
      </w:pPr>
      <w:r w:rsidRPr="00DB307A">
        <w:rPr>
          <w:b/>
        </w:rPr>
        <w:t>Objetivo</w:t>
      </w:r>
    </w:p>
    <w:p w14:paraId="5103C993" w14:textId="77777777" w:rsidR="00DB307A" w:rsidRPr="00DB307A" w:rsidRDefault="00DB307A" w:rsidP="00DB307A">
      <w:pPr>
        <w:jc w:val="both"/>
      </w:pPr>
      <w:r w:rsidRPr="00DB307A">
        <w:t>Analizar la importancia de la comunicación telefónica en el trabajo del auxiliar administrativo e identificar las principales estrategias para mejorar la calidad de la atención al usuario.</w:t>
      </w:r>
    </w:p>
    <w:p w14:paraId="1958F2D5" w14:textId="77777777" w:rsidR="00DB307A" w:rsidRPr="00DB307A" w:rsidRDefault="00DB307A" w:rsidP="00DB307A">
      <w:pPr>
        <w:jc w:val="both"/>
        <w:rPr>
          <w:b/>
        </w:rPr>
      </w:pPr>
      <w:r w:rsidRPr="00DB307A">
        <w:rPr>
          <w:b/>
        </w:rPr>
        <w:t>Material y método</w:t>
      </w:r>
    </w:p>
    <w:p w14:paraId="04689479" w14:textId="77777777" w:rsidR="00DB307A" w:rsidRPr="00DB307A" w:rsidRDefault="00DB307A" w:rsidP="00DB307A">
      <w:pPr>
        <w:jc w:val="both"/>
      </w:pPr>
      <w:r w:rsidRPr="00DB307A">
        <w:t xml:space="preserve">Se realizó una revisión bibliográfica descriptiva mediante la consulta de artículos científicos, manuales de atención al cliente y documentos institucionales publicados entre 2015 y 2025. Las fuentes consultadas incluyeron Google Scholar, </w:t>
      </w:r>
      <w:proofErr w:type="spellStart"/>
      <w:r w:rsidRPr="00DB307A">
        <w:t>Scopus</w:t>
      </w:r>
      <w:proofErr w:type="spellEnd"/>
      <w:r w:rsidRPr="00DB307A">
        <w:t xml:space="preserve"> y publicaciones especializadas en comunicación organizacional, gestión administrativa y calidad en los servicios.</w:t>
      </w:r>
    </w:p>
    <w:p w14:paraId="3B149730" w14:textId="77777777" w:rsidR="00DB307A" w:rsidRPr="00DB307A" w:rsidRDefault="00DB307A" w:rsidP="00DB307A">
      <w:pPr>
        <w:jc w:val="both"/>
      </w:pPr>
      <w:r w:rsidRPr="00DB307A">
        <w:t>Se seleccionaron estudios relacionados con habilidades comunicativas, atención telefónica, satisfacción del usuario y mejora de los procesos administrativos.</w:t>
      </w:r>
    </w:p>
    <w:p w14:paraId="1FF8CCE1" w14:textId="77777777" w:rsidR="00DB307A" w:rsidRPr="00DB307A" w:rsidRDefault="00DB307A" w:rsidP="00DB307A">
      <w:pPr>
        <w:jc w:val="both"/>
        <w:rPr>
          <w:b/>
        </w:rPr>
      </w:pPr>
      <w:r w:rsidRPr="00DB307A">
        <w:rPr>
          <w:b/>
        </w:rPr>
        <w:t>Resultados</w:t>
      </w:r>
    </w:p>
    <w:p w14:paraId="26D88F4F" w14:textId="77777777" w:rsidR="00DB307A" w:rsidRPr="00DB307A" w:rsidRDefault="00DB307A" w:rsidP="00DB307A">
      <w:pPr>
        <w:jc w:val="both"/>
      </w:pPr>
      <w:r w:rsidRPr="00DB307A">
        <w:t>La literatura científica revisada muestra que una comunicación telefónica eficaz mejora la relación entre las organizaciones y los usuarios. Los estudios destacan que responder con rapidez, utilizar un lenguaje claro y mantener un tono cordial favorecen la confianza y reducen la posibilidad de errores en la transmisión de la información.</w:t>
      </w:r>
    </w:p>
    <w:p w14:paraId="5CFE8CAF" w14:textId="77777777" w:rsidR="00DB307A" w:rsidRPr="00DB307A" w:rsidRDefault="00DB307A" w:rsidP="00DB307A">
      <w:pPr>
        <w:jc w:val="both"/>
      </w:pPr>
      <w:r w:rsidRPr="00DB307A">
        <w:lastRenderedPageBreak/>
        <w:t>Entre las buenas prácticas se encuentran identificarse al inicio de la llamada, escuchar sin interrupciones, confirmar que la información ha sido comprendida y despedirse de manera educada. Estas acciones contribuyen a una comunicación más fluida y profesional.</w:t>
      </w:r>
    </w:p>
    <w:p w14:paraId="2C67FE40" w14:textId="77777777" w:rsidR="00DB307A" w:rsidRPr="00DB307A" w:rsidRDefault="00DB307A" w:rsidP="00DB307A">
      <w:pPr>
        <w:jc w:val="both"/>
      </w:pPr>
      <w:r w:rsidRPr="00DB307A">
        <w:t>En el ámbito sanitario, el auxiliar administrativo gestiona frecuentemente citas, cambios de agenda, derivaciones e información general. La precisión en la recogida de datos y el respeto a la confidencialidad son aspectos esenciales para garantizar la seguridad de la información y la correcta organización de la asistencia.</w:t>
      </w:r>
    </w:p>
    <w:p w14:paraId="2C91AD93" w14:textId="77777777" w:rsidR="00DB307A" w:rsidRPr="00DB307A" w:rsidRDefault="00DB307A" w:rsidP="00DB307A">
      <w:pPr>
        <w:jc w:val="both"/>
      </w:pPr>
      <w:r w:rsidRPr="00DB307A">
        <w:t>Los estudios también señalan que la gestión adecuada de llamadas difíciles requiere mantener la calma, mostrar empatía y ofrecer soluciones dentro de las competencias del puesto. Una actitud respetuosa y orientada al usuario favorece la resolución de incidencias y disminuye los conflictos.</w:t>
      </w:r>
    </w:p>
    <w:p w14:paraId="6BBCAF73" w14:textId="77777777" w:rsidR="00DB307A" w:rsidRPr="00DB307A" w:rsidRDefault="00DB307A" w:rsidP="00DB307A">
      <w:pPr>
        <w:jc w:val="both"/>
      </w:pPr>
      <w:r w:rsidRPr="00DB307A">
        <w:t>Asimismo, la formación en habilidades comunicativas y atención al público se asocia con una mayor satisfacción de los usuarios y una mejora del clima laboral.</w:t>
      </w:r>
    </w:p>
    <w:p w14:paraId="40A3C0D2" w14:textId="77777777" w:rsidR="00DB307A" w:rsidRPr="00DB307A" w:rsidRDefault="00DB307A" w:rsidP="00DB307A">
      <w:pPr>
        <w:jc w:val="both"/>
        <w:rPr>
          <w:b/>
        </w:rPr>
      </w:pPr>
      <w:r w:rsidRPr="00DB307A">
        <w:rPr>
          <w:b/>
        </w:rPr>
        <w:t>Conclusiones</w:t>
      </w:r>
    </w:p>
    <w:p w14:paraId="6528FD72" w14:textId="77777777" w:rsidR="00DB307A" w:rsidRPr="00DB307A" w:rsidRDefault="00DB307A" w:rsidP="00DB307A">
      <w:pPr>
        <w:jc w:val="both"/>
      </w:pPr>
      <w:r w:rsidRPr="00DB307A">
        <w:t>La comunicación telefónica constituye una competencia esencial para el auxiliar administrativo y un elemento clave en la calidad de la atención al usuario. Una comunicación clara, respetuosa y organizada mejora la eficiencia de los procesos administrativos y fortalece la imagen de la organización.</w:t>
      </w:r>
    </w:p>
    <w:p w14:paraId="708FF15A" w14:textId="77777777" w:rsidR="00DB307A" w:rsidRPr="00DB307A" w:rsidRDefault="00DB307A" w:rsidP="00DB307A">
      <w:pPr>
        <w:jc w:val="both"/>
      </w:pPr>
      <w:r w:rsidRPr="00DB307A">
        <w:t>El desarrollo de habilidades como la escucha activa, la empatía y la capacidad de resolución de problemas permite ofrecer un servicio más profesional y adaptado a las necesidades de los ciudadanos.</w:t>
      </w:r>
    </w:p>
    <w:p w14:paraId="5D2AFBF6" w14:textId="77777777" w:rsidR="00DB307A" w:rsidRPr="00DB307A" w:rsidRDefault="00DB307A" w:rsidP="00DB307A">
      <w:pPr>
        <w:jc w:val="both"/>
      </w:pPr>
      <w:r w:rsidRPr="00DB307A">
        <w:t xml:space="preserve">La formación continua en comunicación y atención al público debe considerarse una herramienta estratégica para mejorar la calidad de los servicios administrativos y aumentar la satisfacción de los usuarios. </w:t>
      </w:r>
      <w:r w:rsidRPr="00DB307A">
        <w:rPr>
          <w:b/>
        </w:rPr>
        <w:t>Bibliografía</w:t>
      </w:r>
    </w:p>
    <w:p w14:paraId="5510E65B" w14:textId="77777777" w:rsidR="00DB307A" w:rsidRPr="00DB307A" w:rsidRDefault="00DB307A" w:rsidP="00DB307A">
      <w:pPr>
        <w:numPr>
          <w:ilvl w:val="0"/>
          <w:numId w:val="39"/>
        </w:numPr>
        <w:jc w:val="both"/>
      </w:pPr>
      <w:r w:rsidRPr="00DB307A">
        <w:t>Instituto Nacional de Administración Pública. (2023). *Calidad en la atención a la ciudadanía</w:t>
      </w:r>
      <w:proofErr w:type="gramStart"/>
      <w:r w:rsidRPr="00DB307A">
        <w:t>*.*</w:t>
      </w:r>
      <w:proofErr w:type="gramEnd"/>
      <w:r w:rsidRPr="00DB307A">
        <w:t xml:space="preserve"> Ministerio para la Transformación Digital y de la Función Pública. (2024). *Guía de atención al ciudadano en las administraciones públicas*.</w:t>
      </w:r>
    </w:p>
    <w:p w14:paraId="046210AC" w14:textId="77777777" w:rsidR="00DB307A" w:rsidRPr="00DB307A" w:rsidRDefault="00DB307A" w:rsidP="00DB307A">
      <w:pPr>
        <w:numPr>
          <w:ilvl w:val="0"/>
          <w:numId w:val="39"/>
        </w:numPr>
        <w:jc w:val="both"/>
      </w:pPr>
      <w:r w:rsidRPr="00DB307A">
        <w:rPr>
          <w:lang w:val="en-GB"/>
        </w:rPr>
        <w:t xml:space="preserve">Zeithaml, V. A., Bitner, M. J., &amp; Gremler, D. D. (2021). *Services Marketing: Integrating Customer Focus Across the Firm*. </w:t>
      </w:r>
      <w:r w:rsidRPr="00DB307A">
        <w:t>McGraw-Hill.</w:t>
      </w:r>
    </w:p>
    <w:p w14:paraId="41264145" w14:textId="77777777" w:rsidR="00DB307A" w:rsidRPr="00DB307A" w:rsidRDefault="00DB307A" w:rsidP="00DB307A">
      <w:pPr>
        <w:numPr>
          <w:ilvl w:val="0"/>
          <w:numId w:val="39"/>
        </w:numPr>
        <w:jc w:val="both"/>
      </w:pPr>
      <w:r w:rsidRPr="00DB307A">
        <w:rPr>
          <w:lang w:val="en-GB"/>
        </w:rPr>
        <w:t xml:space="preserve">Robbins, S. P., &amp; Judge, T. A. (2022). </w:t>
      </w:r>
      <w:r w:rsidRPr="00DB307A">
        <w:t>*Comportamiento Organizacional*. Pearson Educación.</w:t>
      </w:r>
    </w:p>
    <w:p w14:paraId="73A2C30A" w14:textId="77777777" w:rsidR="00DB307A" w:rsidRDefault="00DB307A" w:rsidP="00DB307A">
      <w:pPr>
        <w:numPr>
          <w:ilvl w:val="0"/>
          <w:numId w:val="39"/>
        </w:numPr>
        <w:jc w:val="both"/>
      </w:pPr>
      <w:r w:rsidRPr="00DB307A">
        <w:t>Goleman, D. (2020). *La inteligencia emocional*. Editorial Kairós.</w:t>
      </w:r>
    </w:p>
    <w:p w14:paraId="38796203" w14:textId="77777777" w:rsidR="00687855" w:rsidRDefault="00687855" w:rsidP="00687855">
      <w:pPr>
        <w:jc w:val="both"/>
      </w:pPr>
    </w:p>
    <w:p w14:paraId="6A5A0468" w14:textId="77777777" w:rsidR="007E5D77" w:rsidRPr="007E5D77" w:rsidRDefault="007E5D77" w:rsidP="007E5D77">
      <w:pPr>
        <w:jc w:val="both"/>
      </w:pPr>
      <w:r w:rsidRPr="007E5D77">
        <w:rPr>
          <w:b/>
        </w:rPr>
        <w:lastRenderedPageBreak/>
        <w:t>La organización del tiempo como herramienta para mejorar el desempeño del auxiliar administrativo</w:t>
      </w:r>
    </w:p>
    <w:p w14:paraId="1A68068A" w14:textId="77777777" w:rsidR="007E5D77" w:rsidRPr="007E5D77" w:rsidRDefault="007E5D77" w:rsidP="007E5D77">
      <w:pPr>
        <w:jc w:val="both"/>
        <w:rPr>
          <w:b/>
        </w:rPr>
      </w:pPr>
      <w:r w:rsidRPr="007E5D77">
        <w:rPr>
          <w:b/>
        </w:rPr>
        <w:t>Introducción</w:t>
      </w:r>
    </w:p>
    <w:p w14:paraId="23CFA02B" w14:textId="77777777" w:rsidR="007E5D77" w:rsidRPr="007E5D77" w:rsidRDefault="007E5D77" w:rsidP="007E5D77">
      <w:pPr>
        <w:jc w:val="both"/>
      </w:pPr>
      <w:r w:rsidRPr="007E5D77">
        <w:t>La organización del tiempo es una competencia esencial para el auxiliar administrativo, ya que gran parte de sus funciones requieren gestionar simultáneamente múltiples tareas, atender a usuarios, tramitar documentación y cumplir plazos establecidos. Una adecuada planificación permite optimizar los recursos disponibles, aumentar la productividad y reducir el estrés derivado de la acumulación de trabajo.</w:t>
      </w:r>
    </w:p>
    <w:p w14:paraId="6F4068C3" w14:textId="77777777" w:rsidR="007E5D77" w:rsidRPr="007E5D77" w:rsidRDefault="007E5D77" w:rsidP="007E5D77">
      <w:pPr>
        <w:jc w:val="both"/>
      </w:pPr>
      <w:r w:rsidRPr="007E5D77">
        <w:t>En la actualidad, los procesos administrativos son cada vez más complejos debido a la incorporación de herramientas digitales, la gestión electrónica de documentos y la necesidad de ofrecer una atención rápida y eficaz a los ciudadanos. Esta realidad exige profesionales capaces de priorizar tareas, organizar su jornada y adaptarse a los cambios sin disminuir la calidad del servicio.</w:t>
      </w:r>
    </w:p>
    <w:p w14:paraId="14FFE433" w14:textId="77777777" w:rsidR="007E5D77" w:rsidRPr="007E5D77" w:rsidRDefault="007E5D77" w:rsidP="007E5D77">
      <w:pPr>
        <w:jc w:val="both"/>
      </w:pPr>
      <w:r w:rsidRPr="007E5D77">
        <w:t>Una gestión ineficiente del tiempo puede provocar retrasos, errores administrativos, incremento de la carga laboral y disminución de la satisfacción tanto de los usuarios como de los propios trabajadores. Por ello, desarrollar estrategias de planificación constituye una competencia imprescindible para el desempeño profesional.</w:t>
      </w:r>
    </w:p>
    <w:p w14:paraId="37E2269C" w14:textId="77777777" w:rsidR="007E5D77" w:rsidRPr="007E5D77" w:rsidRDefault="007E5D77" w:rsidP="007E5D77">
      <w:pPr>
        <w:jc w:val="both"/>
        <w:rPr>
          <w:b/>
        </w:rPr>
      </w:pPr>
      <w:r w:rsidRPr="007E5D77">
        <w:rPr>
          <w:b/>
        </w:rPr>
        <w:t>Objetivo</w:t>
      </w:r>
    </w:p>
    <w:p w14:paraId="79EFFD58" w14:textId="77777777" w:rsidR="007E5D77" w:rsidRPr="007E5D77" w:rsidRDefault="007E5D77" w:rsidP="007E5D77">
      <w:pPr>
        <w:jc w:val="both"/>
      </w:pPr>
      <w:r w:rsidRPr="007E5D77">
        <w:t>Analizar la importancia de la organización del tiempo en el trabajo del auxiliar administrativo y describir las principales estrategias que favorecen una mayor eficiencia, productividad y calidad en la gestión administrativa.</w:t>
      </w:r>
    </w:p>
    <w:p w14:paraId="06D70E89" w14:textId="77777777" w:rsidR="007E5D77" w:rsidRPr="007E5D77" w:rsidRDefault="007E5D77" w:rsidP="007E5D77">
      <w:pPr>
        <w:jc w:val="both"/>
        <w:rPr>
          <w:b/>
        </w:rPr>
      </w:pPr>
      <w:r w:rsidRPr="007E5D77">
        <w:rPr>
          <w:b/>
        </w:rPr>
        <w:t>Material y método</w:t>
      </w:r>
    </w:p>
    <w:p w14:paraId="03555119" w14:textId="77777777" w:rsidR="007E5D77" w:rsidRPr="007E5D77" w:rsidRDefault="007E5D77" w:rsidP="007E5D77">
      <w:pPr>
        <w:jc w:val="both"/>
      </w:pPr>
      <w:r w:rsidRPr="007E5D77">
        <w:t xml:space="preserve">Se realizó una revisión bibliográfica descriptiva mediante la consulta de artículos científicos, manuales de organización del trabajo, documentos institucionales y publicaciones sobre productividad laboral editados entre 2015 y 2025. Las bases de datos consultadas fueron Google Scholar, </w:t>
      </w:r>
      <w:proofErr w:type="spellStart"/>
      <w:r w:rsidRPr="007E5D77">
        <w:t>Scopus</w:t>
      </w:r>
      <w:proofErr w:type="spellEnd"/>
      <w:r w:rsidRPr="007E5D77">
        <w:t xml:space="preserve"> y documentos técnicos de organismos públicos relacionados con la administración y la gestión de recursos humanos.</w:t>
      </w:r>
    </w:p>
    <w:p w14:paraId="7B14EFD0" w14:textId="77777777" w:rsidR="007E5D77" w:rsidRPr="007E5D77" w:rsidRDefault="007E5D77" w:rsidP="007E5D77">
      <w:pPr>
        <w:jc w:val="both"/>
      </w:pPr>
      <w:r w:rsidRPr="007E5D77">
        <w:t>Se seleccionaron publicaciones que abordaban la planificación de tareas, la gestión del tiempo, la productividad administrativa y la organización del trabajo en oficinas y servicios públicos.</w:t>
      </w:r>
    </w:p>
    <w:p w14:paraId="6D41068F" w14:textId="77777777" w:rsidR="007E5D77" w:rsidRPr="007E5D77" w:rsidRDefault="007E5D77" w:rsidP="007E5D77">
      <w:pPr>
        <w:jc w:val="both"/>
        <w:rPr>
          <w:b/>
        </w:rPr>
      </w:pPr>
      <w:r w:rsidRPr="007E5D77">
        <w:rPr>
          <w:b/>
        </w:rPr>
        <w:t>Resultados</w:t>
      </w:r>
    </w:p>
    <w:p w14:paraId="72A5806D" w14:textId="77777777" w:rsidR="007E5D77" w:rsidRPr="007E5D77" w:rsidRDefault="007E5D77" w:rsidP="007E5D77">
      <w:pPr>
        <w:jc w:val="both"/>
      </w:pPr>
      <w:r w:rsidRPr="007E5D77">
        <w:t xml:space="preserve">La literatura científica muestra que una adecuada planificación de la jornada laboral mejora el rendimiento individual y disminuye la aparición de errores </w:t>
      </w:r>
      <w:r w:rsidRPr="007E5D77">
        <w:lastRenderedPageBreak/>
        <w:t>administrativos. Los estudios destacan que establecer prioridades, elaborar listas de tareas y organizar las actividades según su urgencia e importancia favorece el cumplimiento de los objetivos diarios.</w:t>
      </w:r>
    </w:p>
    <w:p w14:paraId="523CC5C4" w14:textId="77777777" w:rsidR="007E5D77" w:rsidRPr="007E5D77" w:rsidRDefault="007E5D77" w:rsidP="007E5D77">
      <w:pPr>
        <w:jc w:val="both"/>
      </w:pPr>
      <w:r w:rsidRPr="007E5D77">
        <w:t>En el trabajo del auxiliar administrativo resulta especialmente útil planificar previamente las actividades, reservar tiempo para atender incidencias imprevistas y evitar interrupciones innecesarias durante la realización de tareas que requieren concentración.</w:t>
      </w:r>
    </w:p>
    <w:p w14:paraId="007BC6E6" w14:textId="77777777" w:rsidR="007E5D77" w:rsidRPr="007E5D77" w:rsidRDefault="007E5D77" w:rsidP="007E5D77">
      <w:pPr>
        <w:jc w:val="both"/>
      </w:pPr>
      <w:r w:rsidRPr="007E5D77">
        <w:t>La evidencia también señala que el uso de agendas electrónicas, calendarios compartidos y aplicaciones de gestión documental facilita el seguimiento de plazos, mejora la coordinación entre departamentos y reduce la duplicidad de trabajo.</w:t>
      </w:r>
    </w:p>
    <w:p w14:paraId="278A1F1A" w14:textId="77777777" w:rsidR="007E5D77" w:rsidRPr="007E5D77" w:rsidRDefault="007E5D77" w:rsidP="007E5D77">
      <w:pPr>
        <w:jc w:val="both"/>
      </w:pPr>
      <w:r w:rsidRPr="007E5D77">
        <w:t>Otro aspecto relevante es la adecuada gestión de las interrupciones, especialmente en puestos con atención al público. Alternar momentos dedicados a la atención presencial con periodos destinados a tareas administrativas complejas permite mantener un mayor nivel de productividad.</w:t>
      </w:r>
    </w:p>
    <w:p w14:paraId="78D7EF1A" w14:textId="77777777" w:rsidR="007E5D77" w:rsidRPr="007E5D77" w:rsidRDefault="007E5D77" w:rsidP="007E5D77">
      <w:pPr>
        <w:jc w:val="both"/>
      </w:pPr>
      <w:r w:rsidRPr="007E5D77">
        <w:t>Diversos estudios indican que una correcta organización del tiempo disminuye el estrés laboral, mejora la satisfacción profesional y favorece un clima de trabajo más eficiente. Además, la planificación permite optimizar los recursos disponibles y mejorar la calidad del servicio ofrecido a los usuarios.</w:t>
      </w:r>
    </w:p>
    <w:p w14:paraId="0EFCA8CE" w14:textId="77777777" w:rsidR="007E5D77" w:rsidRPr="007E5D77" w:rsidRDefault="007E5D77" w:rsidP="007E5D77">
      <w:pPr>
        <w:jc w:val="both"/>
      </w:pPr>
      <w:r w:rsidRPr="007E5D77">
        <w:t>La formación continua en técnicas de productividad, organización personal y herramientas digitales constituye un elemento clave para afrontar las nuevas exigencias del trabajo administrativo.</w:t>
      </w:r>
    </w:p>
    <w:p w14:paraId="0DE4955F" w14:textId="77777777" w:rsidR="007E5D77" w:rsidRPr="007E5D77" w:rsidRDefault="007E5D77" w:rsidP="007E5D77">
      <w:pPr>
        <w:jc w:val="both"/>
        <w:rPr>
          <w:b/>
        </w:rPr>
      </w:pPr>
      <w:r w:rsidRPr="007E5D77">
        <w:rPr>
          <w:b/>
        </w:rPr>
        <w:t>Conclusiones</w:t>
      </w:r>
    </w:p>
    <w:p w14:paraId="15430946" w14:textId="77777777" w:rsidR="007E5D77" w:rsidRPr="007E5D77" w:rsidRDefault="007E5D77" w:rsidP="007E5D77">
      <w:pPr>
        <w:jc w:val="both"/>
      </w:pPr>
      <w:r w:rsidRPr="007E5D77">
        <w:t xml:space="preserve">La organización del tiempo representa una competencia fundamental para el auxiliar administrativo y constituye un factor determinante para la eficiencia de los procesos </w:t>
      </w:r>
    </w:p>
    <w:p w14:paraId="47C778E7" w14:textId="77777777" w:rsidR="007E5D77" w:rsidRPr="007E5D77" w:rsidRDefault="007E5D77" w:rsidP="007E5D77">
      <w:pPr>
        <w:jc w:val="both"/>
      </w:pPr>
      <w:r w:rsidRPr="007E5D77">
        <w:t>administrativos. Una adecuada planificación favorece la productividad, reduce los errores y mejora la calidad de la atención prestada a los usuarios.</w:t>
      </w:r>
    </w:p>
    <w:p w14:paraId="4A7611C8" w14:textId="77777777" w:rsidR="007E5D77" w:rsidRPr="007E5D77" w:rsidRDefault="007E5D77" w:rsidP="007E5D77">
      <w:pPr>
        <w:jc w:val="both"/>
      </w:pPr>
      <w:r w:rsidRPr="007E5D77">
        <w:t>La incorporación de herramientas de planificación, la priorización de tareas y el desarrollo de hábitos organizativos contribuyen a optimizar el trabajo diario y disminuir la sobrecarga laboral.</w:t>
      </w:r>
    </w:p>
    <w:p w14:paraId="2E94F3A8" w14:textId="77777777" w:rsidR="007E5D77" w:rsidRPr="007E5D77" w:rsidRDefault="007E5D77" w:rsidP="007E5D77">
      <w:pPr>
        <w:jc w:val="both"/>
      </w:pPr>
      <w:r w:rsidRPr="007E5D77">
        <w:t>Las organizaciones deben promover la formación en gestión del tiempo y facilitar recursos tecnológicos que permitan mejorar la organización de las tareas, favoreciendo así un servicio más ágil, eficaz y orientado a la ciudadanía.</w:t>
      </w:r>
    </w:p>
    <w:p w14:paraId="2354513E" w14:textId="77777777" w:rsidR="007E5D77" w:rsidRPr="007E5D77" w:rsidRDefault="007E5D77" w:rsidP="007E5D77">
      <w:pPr>
        <w:jc w:val="both"/>
        <w:rPr>
          <w:b/>
        </w:rPr>
      </w:pPr>
      <w:r w:rsidRPr="007E5D77">
        <w:rPr>
          <w:b/>
        </w:rPr>
        <w:t>Bibliografía</w:t>
      </w:r>
    </w:p>
    <w:p w14:paraId="74BD8FDC" w14:textId="77777777" w:rsidR="007E5D77" w:rsidRPr="007E5D77" w:rsidRDefault="007E5D77" w:rsidP="007E5D77">
      <w:pPr>
        <w:numPr>
          <w:ilvl w:val="0"/>
          <w:numId w:val="40"/>
        </w:numPr>
        <w:jc w:val="both"/>
      </w:pPr>
      <w:r w:rsidRPr="007E5D77">
        <w:lastRenderedPageBreak/>
        <w:t>Instituto Nacional de Administración Pública. (2023). *Gestión del tiempo y organización del trabajo en las administraciones públicas*.</w:t>
      </w:r>
    </w:p>
    <w:p w14:paraId="2744F10C" w14:textId="77777777" w:rsidR="007E5D77" w:rsidRPr="007E5D77" w:rsidRDefault="007E5D77" w:rsidP="007E5D77">
      <w:pPr>
        <w:numPr>
          <w:ilvl w:val="0"/>
          <w:numId w:val="40"/>
        </w:numPr>
        <w:jc w:val="both"/>
      </w:pPr>
      <w:r w:rsidRPr="007E5D77">
        <w:t>Ministerio para la Transformación Digital y de la Función Pública. (2024). *Guía de buenas prácticas en la gestión administrativa*.</w:t>
      </w:r>
    </w:p>
    <w:p w14:paraId="1AE0123C" w14:textId="77777777" w:rsidR="007E5D77" w:rsidRPr="007E5D77" w:rsidRDefault="007E5D77" w:rsidP="007E5D77">
      <w:pPr>
        <w:numPr>
          <w:ilvl w:val="0"/>
          <w:numId w:val="40"/>
        </w:numPr>
        <w:jc w:val="both"/>
      </w:pPr>
      <w:r w:rsidRPr="007E5D77">
        <w:rPr>
          <w:lang w:val="en-GB"/>
        </w:rPr>
        <w:t xml:space="preserve">Allen, D. (2021). *Getting Things Done: The Art of Stress-Free Productivity*. </w:t>
      </w:r>
      <w:proofErr w:type="spellStart"/>
      <w:r w:rsidRPr="007E5D77">
        <w:t>Penguin</w:t>
      </w:r>
      <w:proofErr w:type="spellEnd"/>
      <w:r w:rsidRPr="007E5D77">
        <w:t xml:space="preserve"> Books.</w:t>
      </w:r>
    </w:p>
    <w:p w14:paraId="2128361B" w14:textId="77777777" w:rsidR="007E5D77" w:rsidRPr="007E5D77" w:rsidRDefault="007E5D77" w:rsidP="007E5D77">
      <w:pPr>
        <w:numPr>
          <w:ilvl w:val="0"/>
          <w:numId w:val="40"/>
        </w:numPr>
        <w:jc w:val="both"/>
      </w:pPr>
      <w:r w:rsidRPr="007E5D77">
        <w:rPr>
          <w:lang w:val="en-GB"/>
        </w:rPr>
        <w:t xml:space="preserve">Robbins, S. P., &amp; Judge, T. A. (2022). </w:t>
      </w:r>
      <w:r w:rsidRPr="007E5D77">
        <w:t>*Comportamiento Organizacional*. Pearson Educación.</w:t>
      </w:r>
    </w:p>
    <w:p w14:paraId="1EB06707" w14:textId="77777777" w:rsidR="007E5D77" w:rsidRPr="007E5D77" w:rsidRDefault="007E5D77" w:rsidP="007E5D77">
      <w:pPr>
        <w:numPr>
          <w:ilvl w:val="0"/>
          <w:numId w:val="40"/>
        </w:numPr>
        <w:jc w:val="both"/>
      </w:pPr>
      <w:r w:rsidRPr="007E5D77">
        <w:t>Covey, S. R. (2020). *Los 7 hábitos de la gente altamente efectiva*. Paidós.</w:t>
      </w:r>
    </w:p>
    <w:p w14:paraId="7BE39F65" w14:textId="77777777" w:rsidR="00687855" w:rsidRPr="00DB307A" w:rsidRDefault="00687855" w:rsidP="00687855">
      <w:pPr>
        <w:jc w:val="both"/>
      </w:pPr>
    </w:p>
    <w:p w14:paraId="4CA981E1" w14:textId="77777777" w:rsidR="003B40EB" w:rsidRDefault="003B40EB" w:rsidP="00CE24EF">
      <w:pPr>
        <w:jc w:val="both"/>
      </w:pPr>
    </w:p>
    <w:p w14:paraId="773489BD" w14:textId="77777777" w:rsidR="007E5D77" w:rsidRDefault="007E5D77" w:rsidP="00CE24EF">
      <w:pPr>
        <w:jc w:val="both"/>
      </w:pPr>
    </w:p>
    <w:p w14:paraId="33D84A00" w14:textId="77777777" w:rsidR="007E5D77" w:rsidRDefault="007E5D77" w:rsidP="00CE24EF">
      <w:pPr>
        <w:jc w:val="both"/>
      </w:pPr>
    </w:p>
    <w:p w14:paraId="6C8B466D" w14:textId="77777777" w:rsidR="007E5D77" w:rsidRDefault="007E5D77" w:rsidP="00CE24EF">
      <w:pPr>
        <w:jc w:val="both"/>
      </w:pPr>
    </w:p>
    <w:p w14:paraId="14F2473A" w14:textId="77777777" w:rsidR="007E5D77" w:rsidRDefault="007E5D77" w:rsidP="00CE24EF">
      <w:pPr>
        <w:jc w:val="both"/>
      </w:pPr>
    </w:p>
    <w:p w14:paraId="689A7D12" w14:textId="77777777" w:rsidR="007E5D77" w:rsidRDefault="007E5D77" w:rsidP="00CE24EF">
      <w:pPr>
        <w:jc w:val="both"/>
      </w:pPr>
    </w:p>
    <w:p w14:paraId="36907D30" w14:textId="77777777" w:rsidR="007E5D77" w:rsidRDefault="007E5D77" w:rsidP="00CE24EF">
      <w:pPr>
        <w:jc w:val="both"/>
      </w:pPr>
    </w:p>
    <w:p w14:paraId="3118C0D6" w14:textId="77777777" w:rsidR="007E5D77" w:rsidRDefault="007E5D77" w:rsidP="00CE24EF">
      <w:pPr>
        <w:jc w:val="both"/>
      </w:pPr>
    </w:p>
    <w:p w14:paraId="38291D6E" w14:textId="77777777" w:rsidR="007E5D77" w:rsidRDefault="007E5D77" w:rsidP="00CE24EF">
      <w:pPr>
        <w:jc w:val="both"/>
      </w:pPr>
    </w:p>
    <w:p w14:paraId="645BD911" w14:textId="77777777" w:rsidR="007E5D77" w:rsidRDefault="007E5D77" w:rsidP="00CE24EF">
      <w:pPr>
        <w:jc w:val="both"/>
      </w:pPr>
    </w:p>
    <w:p w14:paraId="3D691F9D" w14:textId="77777777" w:rsidR="007E5D77" w:rsidRDefault="007E5D77" w:rsidP="00CE24EF">
      <w:pPr>
        <w:jc w:val="both"/>
      </w:pPr>
    </w:p>
    <w:p w14:paraId="51E0BC3F" w14:textId="77777777" w:rsidR="007E5D77" w:rsidRDefault="007E5D77" w:rsidP="00CE24EF">
      <w:pPr>
        <w:jc w:val="both"/>
      </w:pPr>
    </w:p>
    <w:p w14:paraId="386C1B87" w14:textId="77777777" w:rsidR="007E5D77" w:rsidRDefault="007E5D77" w:rsidP="00CE24EF">
      <w:pPr>
        <w:jc w:val="both"/>
      </w:pPr>
    </w:p>
    <w:p w14:paraId="2217B9F9" w14:textId="77777777" w:rsidR="007E5D77" w:rsidRDefault="007E5D77" w:rsidP="00CE24EF">
      <w:pPr>
        <w:jc w:val="both"/>
      </w:pPr>
    </w:p>
    <w:p w14:paraId="3A0B4317" w14:textId="77777777" w:rsidR="007E5D77" w:rsidRDefault="007E5D77" w:rsidP="00CE24EF">
      <w:pPr>
        <w:jc w:val="both"/>
      </w:pPr>
    </w:p>
    <w:p w14:paraId="38F8DBF9" w14:textId="77777777" w:rsidR="007E5D77" w:rsidRDefault="007E5D77" w:rsidP="00CE24EF">
      <w:pPr>
        <w:jc w:val="both"/>
      </w:pPr>
    </w:p>
    <w:p w14:paraId="475E78C4" w14:textId="77777777" w:rsidR="007E5D77" w:rsidRDefault="007E5D77" w:rsidP="00CE24EF">
      <w:pPr>
        <w:jc w:val="both"/>
      </w:pPr>
    </w:p>
    <w:p w14:paraId="0DBC2361" w14:textId="77777777" w:rsidR="007E5D77" w:rsidRDefault="007E5D77" w:rsidP="00CE24EF">
      <w:pPr>
        <w:jc w:val="both"/>
      </w:pPr>
    </w:p>
    <w:p w14:paraId="4A050AD8" w14:textId="77777777" w:rsidR="007E5D77" w:rsidRDefault="007E5D77" w:rsidP="00CE24EF">
      <w:pPr>
        <w:jc w:val="both"/>
      </w:pPr>
    </w:p>
    <w:p w14:paraId="332D1C2A" w14:textId="77777777" w:rsidR="001B092D" w:rsidRPr="001B092D" w:rsidRDefault="001B092D" w:rsidP="001B092D">
      <w:pPr>
        <w:jc w:val="both"/>
      </w:pPr>
      <w:r w:rsidRPr="001B092D">
        <w:rPr>
          <w:b/>
        </w:rPr>
        <w:lastRenderedPageBreak/>
        <w:t>La confidencialidad de la información: un pilar fundamental en el trabajo del auxiliar administrativo</w:t>
      </w:r>
    </w:p>
    <w:p w14:paraId="649E5870" w14:textId="77777777" w:rsidR="001B092D" w:rsidRPr="001B092D" w:rsidRDefault="001B092D" w:rsidP="001B092D">
      <w:pPr>
        <w:jc w:val="both"/>
        <w:rPr>
          <w:b/>
        </w:rPr>
      </w:pPr>
      <w:r w:rsidRPr="001B092D">
        <w:rPr>
          <w:b/>
        </w:rPr>
        <w:t>Introducción</w:t>
      </w:r>
    </w:p>
    <w:p w14:paraId="29B3B115" w14:textId="77777777" w:rsidR="001B092D" w:rsidRPr="001B092D" w:rsidRDefault="001B092D" w:rsidP="001B092D">
      <w:pPr>
        <w:jc w:val="both"/>
      </w:pPr>
      <w:r w:rsidRPr="001B092D">
        <w:t>La confidencialidad de la información constituye uno de los principios fundamentales de la actividad administrativa. Los auxiliares administrativos manejan diariamente documentación que puede contener datos personales, económicos, laborales o sanitarios, por lo que su actuación debe estar basada en la discreción, la responsabilidad y el cumplimiento de la normativa vigente.</w:t>
      </w:r>
    </w:p>
    <w:p w14:paraId="6D9D37C9" w14:textId="77777777" w:rsidR="001B092D" w:rsidRPr="001B092D" w:rsidRDefault="001B092D" w:rsidP="001B092D">
      <w:pPr>
        <w:jc w:val="both"/>
      </w:pPr>
      <w:r w:rsidRPr="001B092D">
        <w:t>En organismos públicos, centros sanitarios, empresas y entidades privadas, la gestión de la información exige garantizar que los datos solo sean accesibles para las personas autorizadas. Una actuación inadecuada puede ocasionar vulneraciones de la privacidad, pérdidas de confianza por parte de los usuarios y responsabilidades legales para la organización.</w:t>
      </w:r>
    </w:p>
    <w:p w14:paraId="43720CF6" w14:textId="77777777" w:rsidR="001B092D" w:rsidRPr="001B092D" w:rsidRDefault="001B092D" w:rsidP="001B092D">
      <w:pPr>
        <w:jc w:val="both"/>
      </w:pPr>
      <w:r w:rsidRPr="001B092D">
        <w:t>La transformación digital ha incrementado el volumen de información gestionada electrónicamente, haciendo imprescindible que los profesionales conozcan las medidas de seguridad necesarias para proteger tanto la documentación en papel como los archivos digitales.</w:t>
      </w:r>
    </w:p>
    <w:p w14:paraId="0968056C" w14:textId="77777777" w:rsidR="001B092D" w:rsidRPr="001B092D" w:rsidRDefault="001B092D" w:rsidP="001B092D">
      <w:pPr>
        <w:jc w:val="both"/>
      </w:pPr>
      <w:r w:rsidRPr="001B092D">
        <w:t>La formación y la sensibilización en materia de confidencialidad permiten reducir errores, fortalecer la cultura de seguridad y mejorar la calidad de los servicios administrativos.</w:t>
      </w:r>
    </w:p>
    <w:p w14:paraId="76A4C1B8" w14:textId="77777777" w:rsidR="001B092D" w:rsidRPr="001B092D" w:rsidRDefault="001B092D" w:rsidP="001B092D">
      <w:pPr>
        <w:jc w:val="both"/>
        <w:rPr>
          <w:b/>
        </w:rPr>
      </w:pPr>
      <w:r w:rsidRPr="001B092D">
        <w:rPr>
          <w:b/>
        </w:rPr>
        <w:t>Objetivo</w:t>
      </w:r>
    </w:p>
    <w:p w14:paraId="29A8A69B" w14:textId="77777777" w:rsidR="001B092D" w:rsidRPr="001B092D" w:rsidRDefault="001B092D" w:rsidP="001B092D">
      <w:pPr>
        <w:jc w:val="both"/>
      </w:pPr>
      <w:r w:rsidRPr="001B092D">
        <w:t>Analizar la importancia de la confidencialidad en el trabajo del auxiliar administrativo y describir las principales medidas para garantizar la protección de la información durante el desarrollo de sus funciones.</w:t>
      </w:r>
    </w:p>
    <w:p w14:paraId="460C5E67" w14:textId="77777777" w:rsidR="001B092D" w:rsidRPr="001B092D" w:rsidRDefault="001B092D" w:rsidP="001B092D">
      <w:pPr>
        <w:jc w:val="both"/>
        <w:rPr>
          <w:b/>
        </w:rPr>
      </w:pPr>
      <w:r w:rsidRPr="001B092D">
        <w:rPr>
          <w:b/>
        </w:rPr>
        <w:t>Material y método</w:t>
      </w:r>
    </w:p>
    <w:p w14:paraId="638E63F1" w14:textId="77777777" w:rsidR="001B092D" w:rsidRPr="001B092D" w:rsidRDefault="001B092D" w:rsidP="001B092D">
      <w:pPr>
        <w:jc w:val="both"/>
      </w:pPr>
      <w:r w:rsidRPr="001B092D">
        <w:t xml:space="preserve">Se realizó una revisión bibliográfica descriptiva mediante la consulta de artículos científicos, normativa, guías técnicas y documentos institucionales publicados entre 2015 y 2025. Las fuentes consultadas incluyeron Google Scholar, </w:t>
      </w:r>
      <w:proofErr w:type="spellStart"/>
      <w:r w:rsidRPr="001B092D">
        <w:t>Scopus</w:t>
      </w:r>
      <w:proofErr w:type="spellEnd"/>
      <w:r w:rsidRPr="001B092D">
        <w:t xml:space="preserve"> y publicaciones relacionadas con administración pública, protección de datos y gestión documental.</w:t>
      </w:r>
    </w:p>
    <w:p w14:paraId="689CFC2D" w14:textId="77777777" w:rsidR="001B092D" w:rsidRPr="001B092D" w:rsidRDefault="001B092D" w:rsidP="001B092D">
      <w:pPr>
        <w:jc w:val="both"/>
      </w:pPr>
      <w:r w:rsidRPr="001B092D">
        <w:t>Se seleccionaron documentos que abordaban la seguridad de la información, el deber de confidencialidad y las buenas prácticas administrativas.</w:t>
      </w:r>
    </w:p>
    <w:p w14:paraId="69832C34" w14:textId="77777777" w:rsidR="001B092D" w:rsidRPr="001B092D" w:rsidRDefault="001B092D" w:rsidP="001B092D">
      <w:pPr>
        <w:jc w:val="both"/>
        <w:rPr>
          <w:b/>
        </w:rPr>
      </w:pPr>
      <w:r w:rsidRPr="001B092D">
        <w:rPr>
          <w:b/>
        </w:rPr>
        <w:t>Resultados</w:t>
      </w:r>
    </w:p>
    <w:p w14:paraId="6843A945" w14:textId="77777777" w:rsidR="001B092D" w:rsidRPr="001B092D" w:rsidRDefault="001B092D" w:rsidP="001B092D">
      <w:pPr>
        <w:jc w:val="both"/>
      </w:pPr>
      <w:r w:rsidRPr="001B092D">
        <w:t xml:space="preserve">La revisión bibliográfica evidencia que la confidencialidad constituye un elemento esencial para mantener la confianza entre los ciudadanos y las organizaciones. Los </w:t>
      </w:r>
      <w:r w:rsidRPr="001B092D">
        <w:lastRenderedPageBreak/>
        <w:t>estudios muestran que la mayoría de las incidencias relacionadas con la protección de la información se producen por errores humanos, como dejar documentación accesible, compartir datos con personas no autorizadas o utilizar contraseñas poco seguras.</w:t>
      </w:r>
    </w:p>
    <w:p w14:paraId="06C1A8DE" w14:textId="77777777" w:rsidR="001B092D" w:rsidRPr="001B092D" w:rsidRDefault="001B092D" w:rsidP="001B092D">
      <w:pPr>
        <w:jc w:val="both"/>
      </w:pPr>
      <w:r w:rsidRPr="001B092D">
        <w:t>Entre las buenas prácticas destacan verificar siempre la identidad de quien solicita información, mantener bloqueados los equipos informáticos cuando no se utilizan, custodiar correctamente la documentación en papel y evitar conversaciones sobre asuntos confidenciales en espacios públicos.</w:t>
      </w:r>
    </w:p>
    <w:p w14:paraId="4E77F63C" w14:textId="77777777" w:rsidR="001B092D" w:rsidRPr="001B092D" w:rsidRDefault="001B092D" w:rsidP="001B092D">
      <w:pPr>
        <w:jc w:val="both"/>
      </w:pPr>
      <w:r w:rsidRPr="001B092D">
        <w:t>La implantación de sistemas de gestión documental electrónica y de controles de acceso ha mejorado la seguridad de la información; sin embargo, estas herramientas deben complementarse con la formación continua del personal.</w:t>
      </w:r>
    </w:p>
    <w:p w14:paraId="6B2E2E5E" w14:textId="77777777" w:rsidR="001B092D" w:rsidRPr="001B092D" w:rsidRDefault="001B092D" w:rsidP="001B092D">
      <w:pPr>
        <w:jc w:val="both"/>
      </w:pPr>
      <w:r w:rsidRPr="001B092D">
        <w:t>En el ámbito sanitario, la confidencialidad adquiere una relevancia especial debido al carácter sensible de los datos clínicos. En otros ámbitos administrativos, la protección de datos personales y económicos también resulta imprescindible para garantizar los derechos de los ciudadanos.</w:t>
      </w:r>
    </w:p>
    <w:p w14:paraId="65B5AC6E" w14:textId="77777777" w:rsidR="001B092D" w:rsidRPr="001B092D" w:rsidRDefault="001B092D" w:rsidP="001B092D">
      <w:pPr>
        <w:jc w:val="both"/>
      </w:pPr>
      <w:r w:rsidRPr="001B092D">
        <w:t>Los estudios revisados concluyen que las organizaciones que promueven una cultura de confidencialidad presentan menores incidencias de seguridad y una mayor confianza por parte de los usuarios.</w:t>
      </w:r>
    </w:p>
    <w:p w14:paraId="05A4E18A" w14:textId="77777777" w:rsidR="001B092D" w:rsidRPr="001B092D" w:rsidRDefault="001B092D" w:rsidP="001B092D">
      <w:pPr>
        <w:jc w:val="both"/>
        <w:rPr>
          <w:b/>
        </w:rPr>
      </w:pPr>
      <w:r w:rsidRPr="001B092D">
        <w:rPr>
          <w:b/>
        </w:rPr>
        <w:t>Conclusiones</w:t>
      </w:r>
    </w:p>
    <w:p w14:paraId="216D1BFD" w14:textId="77777777" w:rsidR="001B092D" w:rsidRPr="001B092D" w:rsidRDefault="001B092D" w:rsidP="001B092D">
      <w:pPr>
        <w:jc w:val="both"/>
      </w:pPr>
      <w:r w:rsidRPr="001B092D">
        <w:t>La confidencialidad constituye una responsabilidad profesional inherente al trabajo del auxiliar administrativo. El tratamiento adecuado de la información protege los derechos de los ciudadanos, mejora la calidad del servicio y contribuye al cumplimiento de la normativa vigente.</w:t>
      </w:r>
    </w:p>
    <w:p w14:paraId="71D77CDE" w14:textId="77777777" w:rsidR="001B092D" w:rsidRPr="001B092D" w:rsidRDefault="001B092D" w:rsidP="001B092D">
      <w:pPr>
        <w:jc w:val="both"/>
      </w:pPr>
      <w:r w:rsidRPr="001B092D">
        <w:t>La aplicación de buenas prácticas en el manejo de documentos, junto con la formación continua y la utilización de herramientas seguras, permite minimizar riesgos y reforzar la protección de la información.</w:t>
      </w:r>
    </w:p>
    <w:p w14:paraId="72DE472F" w14:textId="77777777" w:rsidR="001B092D" w:rsidRPr="001B092D" w:rsidRDefault="001B092D" w:rsidP="001B092D">
      <w:pPr>
        <w:jc w:val="both"/>
      </w:pPr>
      <w:r w:rsidRPr="001B092D">
        <w:t>Fomentar una cultura organizativa basada en la confidencialidad y la responsabilidad fortalece la confianza de los usuarios y favorece un funcionamiento más seguro y eficiente de las instituciones.</w:t>
      </w:r>
    </w:p>
    <w:p w14:paraId="545DBDB3" w14:textId="77777777" w:rsidR="001B092D" w:rsidRPr="001B092D" w:rsidRDefault="001B092D" w:rsidP="001B092D">
      <w:pPr>
        <w:jc w:val="both"/>
        <w:rPr>
          <w:b/>
        </w:rPr>
      </w:pPr>
      <w:r w:rsidRPr="001B092D">
        <w:rPr>
          <w:b/>
        </w:rPr>
        <w:t>Bibliografía</w:t>
      </w:r>
    </w:p>
    <w:p w14:paraId="2B435DF6" w14:textId="77777777" w:rsidR="001B092D" w:rsidRPr="001B092D" w:rsidRDefault="001B092D" w:rsidP="001B092D">
      <w:pPr>
        <w:numPr>
          <w:ilvl w:val="0"/>
          <w:numId w:val="41"/>
        </w:numPr>
        <w:jc w:val="both"/>
      </w:pPr>
      <w:r w:rsidRPr="001B092D">
        <w:t>Agencia Española de Protección de Datos. (2024). *Guía para el deber de confidencialidad en las organizaciones*.</w:t>
      </w:r>
    </w:p>
    <w:p w14:paraId="5278695A" w14:textId="77777777" w:rsidR="001B092D" w:rsidRPr="001B092D" w:rsidRDefault="001B092D" w:rsidP="001B092D">
      <w:pPr>
        <w:numPr>
          <w:ilvl w:val="0"/>
          <w:numId w:val="41"/>
        </w:numPr>
        <w:jc w:val="both"/>
      </w:pPr>
      <w:r w:rsidRPr="001B092D">
        <w:t>Ministerio para la Transformación Digital y de la Función Pública. (2024). *Buenas prácticas en la gestión de la información administrativa*.</w:t>
      </w:r>
    </w:p>
    <w:p w14:paraId="706E8A5E" w14:textId="77777777" w:rsidR="001B092D" w:rsidRPr="001B092D" w:rsidRDefault="001B092D" w:rsidP="001B092D">
      <w:pPr>
        <w:numPr>
          <w:ilvl w:val="0"/>
          <w:numId w:val="41"/>
        </w:numPr>
        <w:jc w:val="both"/>
      </w:pPr>
      <w:r w:rsidRPr="001B092D">
        <w:lastRenderedPageBreak/>
        <w:t>Organización Internacional de Normalización. (2022). ISO/IEC 27001. *</w:t>
      </w:r>
      <w:proofErr w:type="spellStart"/>
      <w:r w:rsidRPr="001B092D">
        <w:t>Information</w:t>
      </w:r>
      <w:proofErr w:type="spellEnd"/>
      <w:r w:rsidRPr="001B092D">
        <w:t xml:space="preserve"> Security Management </w:t>
      </w:r>
      <w:proofErr w:type="spellStart"/>
      <w:r w:rsidRPr="001B092D">
        <w:t>Systems</w:t>
      </w:r>
      <w:proofErr w:type="spellEnd"/>
      <w:r w:rsidRPr="001B092D">
        <w:t>*.</w:t>
      </w:r>
    </w:p>
    <w:p w14:paraId="5BBF2ED5" w14:textId="77777777" w:rsidR="001B092D" w:rsidRPr="001B092D" w:rsidRDefault="001B092D" w:rsidP="001B092D">
      <w:pPr>
        <w:numPr>
          <w:ilvl w:val="0"/>
          <w:numId w:val="41"/>
        </w:numPr>
        <w:jc w:val="both"/>
      </w:pPr>
      <w:r w:rsidRPr="001B092D">
        <w:t>Cortina, A. (2021). *Ética aplicada y responsabilidad profesional*. Editorial Tecnos.</w:t>
      </w:r>
    </w:p>
    <w:p w14:paraId="507496CA" w14:textId="77777777" w:rsidR="001B092D" w:rsidRPr="001B092D" w:rsidRDefault="001B092D" w:rsidP="001B092D">
      <w:pPr>
        <w:numPr>
          <w:ilvl w:val="0"/>
          <w:numId w:val="41"/>
        </w:numPr>
        <w:jc w:val="both"/>
        <w:rPr>
          <w:lang w:val="en-GB"/>
        </w:rPr>
      </w:pPr>
      <w:r w:rsidRPr="001B092D">
        <w:rPr>
          <w:lang w:val="en-GB"/>
        </w:rPr>
        <w:t>European Union Agency for Cybersecurity (ENISA). (2023). *Guidelines on Information Security and Data Protection*.</w:t>
      </w:r>
    </w:p>
    <w:p w14:paraId="7B892D40" w14:textId="77777777" w:rsidR="007E5D77" w:rsidRPr="00982C5C" w:rsidRDefault="007E5D77" w:rsidP="00CE24EF">
      <w:pPr>
        <w:jc w:val="both"/>
        <w:rPr>
          <w:lang w:val="en-GB"/>
        </w:rPr>
      </w:pPr>
    </w:p>
    <w:p w14:paraId="5D1F6787" w14:textId="77777777" w:rsidR="001B092D" w:rsidRPr="00982C5C" w:rsidRDefault="001B092D" w:rsidP="00CE24EF">
      <w:pPr>
        <w:jc w:val="both"/>
        <w:rPr>
          <w:lang w:val="en-GB"/>
        </w:rPr>
      </w:pPr>
    </w:p>
    <w:p w14:paraId="07A3D2D5" w14:textId="77777777" w:rsidR="001B092D" w:rsidRPr="00982C5C" w:rsidRDefault="001B092D" w:rsidP="00CE24EF">
      <w:pPr>
        <w:jc w:val="both"/>
        <w:rPr>
          <w:lang w:val="en-GB"/>
        </w:rPr>
      </w:pPr>
    </w:p>
    <w:p w14:paraId="3C1EAD19" w14:textId="77777777" w:rsidR="001B092D" w:rsidRPr="00982C5C" w:rsidRDefault="001B092D" w:rsidP="00CE24EF">
      <w:pPr>
        <w:jc w:val="both"/>
        <w:rPr>
          <w:lang w:val="en-GB"/>
        </w:rPr>
      </w:pPr>
    </w:p>
    <w:p w14:paraId="5359DF1F" w14:textId="77777777" w:rsidR="001B092D" w:rsidRPr="00982C5C" w:rsidRDefault="001B092D" w:rsidP="00CE24EF">
      <w:pPr>
        <w:jc w:val="both"/>
        <w:rPr>
          <w:lang w:val="en-GB"/>
        </w:rPr>
      </w:pPr>
    </w:p>
    <w:p w14:paraId="36E320D3" w14:textId="77777777" w:rsidR="001B092D" w:rsidRPr="00982C5C" w:rsidRDefault="001B092D" w:rsidP="00CE24EF">
      <w:pPr>
        <w:jc w:val="both"/>
        <w:rPr>
          <w:lang w:val="en-GB"/>
        </w:rPr>
      </w:pPr>
    </w:p>
    <w:p w14:paraId="37E68FA8" w14:textId="77777777" w:rsidR="001B092D" w:rsidRPr="00982C5C" w:rsidRDefault="001B092D" w:rsidP="00CE24EF">
      <w:pPr>
        <w:jc w:val="both"/>
        <w:rPr>
          <w:lang w:val="en-GB"/>
        </w:rPr>
      </w:pPr>
    </w:p>
    <w:p w14:paraId="69DD6D49" w14:textId="77777777" w:rsidR="001B092D" w:rsidRPr="00982C5C" w:rsidRDefault="001B092D" w:rsidP="00CE24EF">
      <w:pPr>
        <w:jc w:val="both"/>
        <w:rPr>
          <w:lang w:val="en-GB"/>
        </w:rPr>
      </w:pPr>
    </w:p>
    <w:p w14:paraId="67FCFBD9" w14:textId="77777777" w:rsidR="001B092D" w:rsidRPr="00982C5C" w:rsidRDefault="001B092D" w:rsidP="00CE24EF">
      <w:pPr>
        <w:jc w:val="both"/>
        <w:rPr>
          <w:lang w:val="en-GB"/>
        </w:rPr>
      </w:pPr>
    </w:p>
    <w:p w14:paraId="697CAF03" w14:textId="77777777" w:rsidR="001B092D" w:rsidRPr="00982C5C" w:rsidRDefault="001B092D" w:rsidP="00CE24EF">
      <w:pPr>
        <w:jc w:val="both"/>
        <w:rPr>
          <w:lang w:val="en-GB"/>
        </w:rPr>
      </w:pPr>
    </w:p>
    <w:p w14:paraId="167FE3A1" w14:textId="77777777" w:rsidR="00154A74" w:rsidRPr="00982C5C" w:rsidRDefault="00154A74" w:rsidP="00CE24EF">
      <w:pPr>
        <w:jc w:val="both"/>
        <w:rPr>
          <w:lang w:val="en-GB"/>
        </w:rPr>
      </w:pPr>
    </w:p>
    <w:p w14:paraId="64E4095C" w14:textId="77777777" w:rsidR="00154A74" w:rsidRPr="00982C5C" w:rsidRDefault="00154A74" w:rsidP="00CE24EF">
      <w:pPr>
        <w:jc w:val="both"/>
        <w:rPr>
          <w:lang w:val="en-GB"/>
        </w:rPr>
      </w:pPr>
    </w:p>
    <w:p w14:paraId="34F0329C" w14:textId="77777777" w:rsidR="00154A74" w:rsidRPr="00982C5C" w:rsidRDefault="00154A74" w:rsidP="00CE24EF">
      <w:pPr>
        <w:jc w:val="both"/>
        <w:rPr>
          <w:lang w:val="en-GB"/>
        </w:rPr>
      </w:pPr>
    </w:p>
    <w:p w14:paraId="0B21CA5E" w14:textId="77777777" w:rsidR="00154A74" w:rsidRPr="00982C5C" w:rsidRDefault="00154A74" w:rsidP="00CE24EF">
      <w:pPr>
        <w:jc w:val="both"/>
        <w:rPr>
          <w:lang w:val="en-GB"/>
        </w:rPr>
      </w:pPr>
    </w:p>
    <w:p w14:paraId="56A6C508" w14:textId="77777777" w:rsidR="00154A74" w:rsidRPr="00982C5C" w:rsidRDefault="00154A74" w:rsidP="00CE24EF">
      <w:pPr>
        <w:jc w:val="both"/>
        <w:rPr>
          <w:lang w:val="en-GB"/>
        </w:rPr>
      </w:pPr>
    </w:p>
    <w:p w14:paraId="2BFF90EF" w14:textId="77777777" w:rsidR="00154A74" w:rsidRPr="00982C5C" w:rsidRDefault="00154A74" w:rsidP="00CE24EF">
      <w:pPr>
        <w:jc w:val="both"/>
        <w:rPr>
          <w:lang w:val="en-GB"/>
        </w:rPr>
      </w:pPr>
    </w:p>
    <w:p w14:paraId="5D0B28CF" w14:textId="77777777" w:rsidR="00154A74" w:rsidRPr="00982C5C" w:rsidRDefault="00154A74" w:rsidP="00CE24EF">
      <w:pPr>
        <w:jc w:val="both"/>
        <w:rPr>
          <w:lang w:val="en-GB"/>
        </w:rPr>
      </w:pPr>
    </w:p>
    <w:p w14:paraId="21EC5F14" w14:textId="77777777" w:rsidR="00154A74" w:rsidRPr="00982C5C" w:rsidRDefault="00154A74" w:rsidP="00CE24EF">
      <w:pPr>
        <w:jc w:val="both"/>
        <w:rPr>
          <w:lang w:val="en-GB"/>
        </w:rPr>
      </w:pPr>
    </w:p>
    <w:p w14:paraId="4E18DC9F" w14:textId="77777777" w:rsidR="00154A74" w:rsidRPr="00982C5C" w:rsidRDefault="00154A74" w:rsidP="00CE24EF">
      <w:pPr>
        <w:jc w:val="both"/>
        <w:rPr>
          <w:lang w:val="en-GB"/>
        </w:rPr>
      </w:pPr>
    </w:p>
    <w:p w14:paraId="386EC21E" w14:textId="77777777" w:rsidR="00154A74" w:rsidRPr="00982C5C" w:rsidRDefault="00154A74" w:rsidP="00CE24EF">
      <w:pPr>
        <w:jc w:val="both"/>
        <w:rPr>
          <w:lang w:val="en-GB"/>
        </w:rPr>
      </w:pPr>
    </w:p>
    <w:p w14:paraId="56F85FD9" w14:textId="77777777" w:rsidR="00154A74" w:rsidRPr="00982C5C" w:rsidRDefault="00154A74" w:rsidP="00CE24EF">
      <w:pPr>
        <w:jc w:val="both"/>
        <w:rPr>
          <w:lang w:val="en-GB"/>
        </w:rPr>
      </w:pPr>
    </w:p>
    <w:p w14:paraId="3E7C1800" w14:textId="77777777" w:rsidR="00154A74" w:rsidRPr="00982C5C" w:rsidRDefault="00154A74" w:rsidP="00CE24EF">
      <w:pPr>
        <w:jc w:val="both"/>
        <w:rPr>
          <w:lang w:val="en-GB"/>
        </w:rPr>
      </w:pPr>
    </w:p>
    <w:p w14:paraId="5D08D53B" w14:textId="77777777" w:rsidR="001B092D" w:rsidRPr="00982C5C" w:rsidRDefault="001B092D" w:rsidP="00CE24EF">
      <w:pPr>
        <w:jc w:val="both"/>
        <w:rPr>
          <w:lang w:val="en-GB"/>
        </w:rPr>
      </w:pPr>
    </w:p>
    <w:p w14:paraId="46248859" w14:textId="77777777" w:rsidR="00154A74" w:rsidRPr="00154A74" w:rsidRDefault="00154A74" w:rsidP="00154A74">
      <w:pPr>
        <w:jc w:val="both"/>
      </w:pPr>
      <w:r w:rsidRPr="00154A74">
        <w:rPr>
          <w:b/>
        </w:rPr>
        <w:lastRenderedPageBreak/>
        <w:t>La bolsa de demandantes de empleo temporal de auxiliar administrativo del SESPA: llamamientos, situaciones del demandante y penalizaciones</w:t>
      </w:r>
    </w:p>
    <w:p w14:paraId="028F8AB0" w14:textId="77777777" w:rsidR="00154A74" w:rsidRPr="00154A74" w:rsidRDefault="00154A74" w:rsidP="00154A74">
      <w:pPr>
        <w:jc w:val="both"/>
        <w:rPr>
          <w:b/>
        </w:rPr>
      </w:pPr>
      <w:r w:rsidRPr="00154A74">
        <w:rPr>
          <w:b/>
        </w:rPr>
        <w:t>Resumen</w:t>
      </w:r>
    </w:p>
    <w:p w14:paraId="57C838EF" w14:textId="77777777" w:rsidR="00154A74" w:rsidRPr="00154A74" w:rsidRDefault="00154A74" w:rsidP="00154A74">
      <w:pPr>
        <w:jc w:val="both"/>
      </w:pPr>
      <w:r w:rsidRPr="00154A74">
        <w:t>El acceso al empleo temporal como auxiliar administrativo en el Servicio de Salud del Principado de Asturias (SESPA) se articula a través de las bolsas de demandantes de empleo, reguladas por el Pacto sobre contratación de personal temporal. Para quien aspira a esta categoría, conocer cómo se registran los méritos, cómo funcionan los llamamientos, en qué situaciones puede encontrarse el demandante y qué penalizaciones existen resulta tan importante como preparar el temario. Este artículo describe el procedimiento de inscripción y actualización de méritos a través de la aplicación AMBEPE, el sistema de llamamiento diario —el conocido «busca»—, las situaciones de alta, baja temporal y baja definitiva, y las consecuencias de rechazar una oferta o no atender una llamada. Su conocimiento permite al aspirante a auxiliar administrativo evitar penalizaciones y pérdidas de oportunidades laborales.</w:t>
      </w:r>
    </w:p>
    <w:p w14:paraId="373D0F1B" w14:textId="77777777" w:rsidR="00154A74" w:rsidRPr="00154A74" w:rsidRDefault="00154A74" w:rsidP="00154A74">
      <w:pPr>
        <w:jc w:val="both"/>
        <w:rPr>
          <w:b/>
        </w:rPr>
      </w:pPr>
      <w:r w:rsidRPr="00154A74">
        <w:rPr>
          <w:b/>
        </w:rPr>
        <w:t>Palabras clave</w:t>
      </w:r>
    </w:p>
    <w:p w14:paraId="3C7946F7" w14:textId="77777777" w:rsidR="00154A74" w:rsidRPr="00154A74" w:rsidRDefault="00154A74" w:rsidP="00154A74">
      <w:pPr>
        <w:jc w:val="both"/>
      </w:pPr>
      <w:r w:rsidRPr="00154A74">
        <w:t>Bolsa de empleo, contratación temporal, auxiliar administrativo, AMBEPE, llamamiento, penalizaciones, SESPA.</w:t>
      </w:r>
    </w:p>
    <w:p w14:paraId="13A44880" w14:textId="77777777" w:rsidR="00154A74" w:rsidRPr="00154A74" w:rsidRDefault="00154A74" w:rsidP="00154A74">
      <w:pPr>
        <w:jc w:val="both"/>
        <w:rPr>
          <w:b/>
        </w:rPr>
      </w:pPr>
      <w:r w:rsidRPr="00154A74">
        <w:rPr>
          <w:b/>
        </w:rPr>
        <w:t>Introducción</w:t>
      </w:r>
    </w:p>
    <w:p w14:paraId="207E1704" w14:textId="77777777" w:rsidR="00154A74" w:rsidRPr="00154A74" w:rsidRDefault="00154A74" w:rsidP="00154A74">
      <w:pPr>
        <w:jc w:val="both"/>
      </w:pPr>
      <w:r w:rsidRPr="00154A74">
        <w:t xml:space="preserve">El personal estatutario temporal cubre una parte sustancial de las necesidades del sistema sanitario público, y la categoría de auxiliar administrativo es una de las de mayor movimiento en las unidades de admisión, consultas y servicios administrativos de los centros del SESPA. En Asturias, su selección se rige por el Pacto sobre contratación de personal temporal y sobre promoción interna temporal del SESPA, aprobado en 2001 y modificado en sucesivas ocasiones, cuyo texto actualizado está disponible en el portal </w:t>
      </w:r>
      <w:proofErr w:type="spellStart"/>
      <w:r w:rsidRPr="00154A74">
        <w:t>Astursalud</w:t>
      </w:r>
      <w:proofErr w:type="spellEnd"/>
      <w:r w:rsidRPr="00154A74">
        <w:t>. Esta norma desarrolla el artículo 33 de la Ley 55/2003, del Estatuto Marco del personal estatutario, y el artículo 87 de la Ley 7/2019, de Salud del Principado de Asturias, sobre la base de los principios de igualdad, mérito, capacidad, publicidad y celeridad.</w:t>
      </w:r>
    </w:p>
    <w:p w14:paraId="2045B6FE" w14:textId="77777777" w:rsidR="00154A74" w:rsidRPr="00154A74" w:rsidRDefault="00154A74" w:rsidP="00154A74">
      <w:pPr>
        <w:jc w:val="both"/>
      </w:pPr>
      <w:r w:rsidRPr="00154A74">
        <w:t xml:space="preserve">Para quien aspira a trabajar como auxiliar administrativo en el SESPA, aprobar o puntuar bien no es el final del camino: a </w:t>
      </w:r>
      <w:proofErr w:type="gramStart"/>
      <w:r w:rsidRPr="00154A74">
        <w:t>continuación</w:t>
      </w:r>
      <w:proofErr w:type="gramEnd"/>
      <w:r w:rsidRPr="00154A74">
        <w:t xml:space="preserve"> entra en juego la mecánica de la bolsa, un terreno donde un descuido —no registrar a tiempo un curso, no actualizar un teléfono, no atender una llamada o rechazar una oferta sin conocer sus consecuencias— puede traducirse en una penalización o en la pérdida del puesto en la lista. Las páginas que siguen se detienen precisamente en ese funcionamiento, con la mirada puesta en los méritos, los llamamientos y las penalizaciones.</w:t>
      </w:r>
    </w:p>
    <w:p w14:paraId="2D89ED24" w14:textId="77777777" w:rsidR="00154A74" w:rsidRPr="00154A74" w:rsidRDefault="00154A74" w:rsidP="00154A74">
      <w:pPr>
        <w:jc w:val="both"/>
        <w:rPr>
          <w:b/>
        </w:rPr>
      </w:pPr>
      <w:r w:rsidRPr="00154A74">
        <w:rPr>
          <w:b/>
        </w:rPr>
        <w:lastRenderedPageBreak/>
        <w:t>Metodología</w:t>
      </w:r>
    </w:p>
    <w:p w14:paraId="1F5B40C4" w14:textId="77777777" w:rsidR="00154A74" w:rsidRPr="00154A74" w:rsidRDefault="00154A74" w:rsidP="00154A74">
      <w:pPr>
        <w:jc w:val="both"/>
      </w:pPr>
      <w:r w:rsidRPr="00154A74">
        <w:t xml:space="preserve">El presente trabajo parte de una revisión normativa y documental de carácter descriptivo. La fuente principal es el Pacto sobre contratación de personal temporal del SESPA, en su redacción vigente tras las sucesivas resoluciones de modificación de la Dirección Gerencia (entre ellas, la de 16 de enero de 2023), junto con la información oficial publicada por el SESPA en </w:t>
      </w:r>
      <w:proofErr w:type="spellStart"/>
      <w:r w:rsidRPr="00154A74">
        <w:t>Astursalud</w:t>
      </w:r>
      <w:proofErr w:type="spellEnd"/>
      <w:r w:rsidRPr="00154A74">
        <w:t xml:space="preserve"> sobre la inscripción, el registro de méritos mediante la aplicación AMBEPE, la consulta del registro de demandantes y la gestión de llamadas. Con esas referencias se ha reconstruido el circuito de la bolsa de auxiliar administrativo, desde la inscripción hasta el régimen de penalizaciones.</w:t>
      </w:r>
    </w:p>
    <w:p w14:paraId="0AD06C02" w14:textId="77777777" w:rsidR="00154A74" w:rsidRPr="00154A74" w:rsidRDefault="00154A74" w:rsidP="00154A74">
      <w:pPr>
        <w:jc w:val="both"/>
        <w:rPr>
          <w:b/>
        </w:rPr>
      </w:pPr>
      <w:r w:rsidRPr="00154A74">
        <w:rPr>
          <w:b/>
        </w:rPr>
        <w:t>Resultados</w:t>
      </w:r>
    </w:p>
    <w:p w14:paraId="78CC432B" w14:textId="77777777" w:rsidR="00154A74" w:rsidRPr="00154A74" w:rsidRDefault="00154A74" w:rsidP="00154A74">
      <w:pPr>
        <w:jc w:val="both"/>
      </w:pPr>
      <w:r w:rsidRPr="00154A74">
        <w:t>Todo comienza con la inscripción y la ordenación de la lista. La persona se inscribe como demandante de empleo en la categoría de auxiliar administrativo eligiendo un Área Sanitaria principal y, si lo desea, otras áreas secundarias por orden de preferencia; solo se la llamará para un área secundaria una vez agotada la lista de quienes la eligieron como principal. La inscripción surte efectos a partir del día 16 del mes siguiente al de su presentación.</w:t>
      </w:r>
    </w:p>
    <w:p w14:paraId="4F39BC89" w14:textId="77777777" w:rsidR="00154A74" w:rsidRPr="00154A74" w:rsidRDefault="00154A74" w:rsidP="00154A74">
      <w:pPr>
        <w:jc w:val="both"/>
      </w:pPr>
      <w:r w:rsidRPr="00154A74">
        <w:t>El registro de los méritos se realiza en línea a través de la aplicación AMBEPE del SESPA (ambepe.sespa.es). En ella, el aspirante da de alta sus cursos de formación y los servicios prestados fuera del SESPA e imprime el anexo correspondiente para aportar después la documentación acreditativa, que valida la unidad competente; en cambio, los servicios prestados en centros del propio SESPA se incorporan de oficio. Con carácter general, para el personal no sanitario —como el auxiliar administrativo— la actualización de los listados se realiza una vez al año, en el mes de abril, ordenando a los demandantes de mayor a menor puntuación según el baremo del Pacto.</w:t>
      </w:r>
    </w:p>
    <w:p w14:paraId="7502AD9B" w14:textId="77777777" w:rsidR="00154A74" w:rsidRPr="00154A74" w:rsidRDefault="00154A74" w:rsidP="00154A74">
      <w:pPr>
        <w:jc w:val="both"/>
      </w:pPr>
      <w:r w:rsidRPr="00154A74">
        <w:t>Una vez se figura en la lista, entra en juego el sistema de llamamiento, conocido coloquialmente como «el busca». Cada Área Sanitaria inicia diariamente los llamamientos por orden de puntuación para ofrecer los nombramientos disponibles, que en esta categoría suelen ser sustituciones o refuerzos en unidades de admisión, consultas externas o servicios administrativos. La unidad de contrataciones realiza al menos dos intentos de llamada al único número de teléfono que figura en la demanda, con un intervalo de diez minutos entre ambos. Si no logra contactar, envía un SMS informando de que se dispone de dos horas para ponerse en contacto con la unidad. Todas las llamadas e intentos quedan registrados de forma expresa, con fecha y hora, lo que dota de garantías al procedimiento.</w:t>
      </w:r>
    </w:p>
    <w:p w14:paraId="02CB0B59" w14:textId="77777777" w:rsidR="00154A74" w:rsidRPr="00154A74" w:rsidRDefault="00154A74" w:rsidP="00154A74">
      <w:pPr>
        <w:jc w:val="both"/>
      </w:pPr>
      <w:r w:rsidRPr="00154A74">
        <w:lastRenderedPageBreak/>
        <w:t>A lo largo de su permanencia en la bolsa, el demandante puede encontrarse en tres situaciones distintas:</w:t>
      </w:r>
    </w:p>
    <w:p w14:paraId="427F0882" w14:textId="77777777" w:rsidR="00154A74" w:rsidRPr="00154A74" w:rsidRDefault="00154A74" w:rsidP="00154A74">
      <w:pPr>
        <w:jc w:val="both"/>
      </w:pPr>
      <w:r w:rsidRPr="00154A74">
        <w:t>Alta (activo): disponible para recibir llamamientos.</w:t>
      </w:r>
    </w:p>
    <w:p w14:paraId="1E763F65" w14:textId="77777777" w:rsidR="00154A74" w:rsidRPr="00154A74" w:rsidRDefault="00154A74" w:rsidP="00154A74">
      <w:pPr>
        <w:jc w:val="both"/>
      </w:pPr>
      <w:r w:rsidRPr="00154A74">
        <w:t xml:space="preserve">Baja temporal (suspensión de llamamientos): no se le ofertan </w:t>
      </w:r>
      <w:proofErr w:type="gramStart"/>
      <w:r w:rsidRPr="00154A74">
        <w:t>nombramientos</w:t>
      </w:r>
      <w:proofErr w:type="gramEnd"/>
      <w:r w:rsidRPr="00154A74">
        <w:t xml:space="preserve"> pero conserva su puesto y puntuación en la lista.</w:t>
      </w:r>
    </w:p>
    <w:p w14:paraId="396AB9D8" w14:textId="77777777" w:rsidR="00154A74" w:rsidRPr="00154A74" w:rsidRDefault="00154A74" w:rsidP="00154A74">
      <w:pPr>
        <w:jc w:val="both"/>
      </w:pPr>
      <w:r w:rsidRPr="00154A74">
        <w:t>Baja definitiva: implica la eliminación del registro, debiendo solicitar una nueva inscripción si se desea volver a figurar.</w:t>
      </w:r>
    </w:p>
    <w:p w14:paraId="4E685721" w14:textId="77777777" w:rsidR="00154A74" w:rsidRPr="00154A74" w:rsidRDefault="00154A74" w:rsidP="00154A74">
      <w:pPr>
        <w:jc w:val="both"/>
      </w:pPr>
      <w:r w:rsidRPr="00154A74">
        <w:t>Merece detenerse en una duda muy habitual entre los aspirantes a auxiliar administrativo: qué ocurre si te llaman cuando ya estás trabajando. Si se acepta un contrato del SESPA, durante su vigencia el demandante permanece en baja temporal y, al finalizar, vuelve automáticamente a la situación de alta sin necesidad de solicitarlo. Si ya se están prestando servicios por cuenta propia o ajena, se puede no aceptar la oferta por ese motivo y pasar a baja temporal sin penalización; en este caso, deberá pedirse expresamente la vuelta al alta, con efectos desde el día 1 del mes siguiente. Cabe también solicitar la suspensión por motivos de conciliación de la vida familiar y laboral.</w:t>
      </w:r>
    </w:p>
    <w:p w14:paraId="13E367A8" w14:textId="77777777" w:rsidR="00154A74" w:rsidRPr="00154A74" w:rsidRDefault="00154A74" w:rsidP="00154A74">
      <w:pPr>
        <w:jc w:val="both"/>
        <w:rPr>
          <w:b/>
        </w:rPr>
      </w:pPr>
      <w:r w:rsidRPr="00154A74">
        <w:rPr>
          <w:b/>
        </w:rPr>
        <w:t>Discusión</w:t>
      </w:r>
    </w:p>
    <w:p w14:paraId="160C4345" w14:textId="77777777" w:rsidR="00154A74" w:rsidRPr="00154A74" w:rsidRDefault="00154A74" w:rsidP="00154A74">
      <w:pPr>
        <w:jc w:val="both"/>
      </w:pPr>
      <w:r w:rsidRPr="00154A74">
        <w:t>El régimen de penalizaciones es el aspecto que más inquieta a los demandantes, y conviene precisarlo. Rechazar por primera vez una oferta en el área principal o secundaria se considera, con carácter general, una falta leve, salvo que lo rechazado sea un nombramiento urgente ofertado el mismo día en que comienza la prestación. No atender las llamadas, en cambio, tiene un efecto diferente: cuando el demandante resulta ilocalizable en tres días distintos dentro de un plazo de quince días naturales, pasa a situación de baja temporal. El Pacto gradúa las conductas en faltas leves, graves y muy graves, con efectos de suspensión o inhabilitación cuyos plazos concretos se detallan en su capítulo sobre situaciones de los demandantes y a los que se aplica la prescripción prevista en la Ley 55/2003; la falsedad documental, por ejemplo, constituye falta muy grave y conlleva la baja definitiva.</w:t>
      </w:r>
    </w:p>
    <w:p w14:paraId="6F7D5A1F" w14:textId="77777777" w:rsidR="00154A74" w:rsidRPr="00154A74" w:rsidRDefault="00154A74" w:rsidP="00154A74">
      <w:pPr>
        <w:jc w:val="both"/>
      </w:pPr>
      <w:r w:rsidRPr="00154A74">
        <w:t>De todo ello se derivan algunas recomendaciones prácticas para el aspirante a auxiliar administrativo: registrar los cursos en AMBEPE dentro del plazo anual, mantener actualizado el teléfono de contacto, estar pendiente del «busca» y de los SMS, y distinguir bien entre rechazar una oferta —que penaliza— y acogerse a una suspensión por estar ya trabajando —que no penaliza—. Saber diferenciar ambos supuestos es decisivo para no perder posiciones en la lista.</w:t>
      </w:r>
    </w:p>
    <w:p w14:paraId="36F74FF9" w14:textId="77777777" w:rsidR="00154A74" w:rsidRPr="00154A74" w:rsidRDefault="00154A74" w:rsidP="00154A74">
      <w:pPr>
        <w:jc w:val="both"/>
      </w:pPr>
      <w:r w:rsidRPr="00154A74">
        <w:t xml:space="preserve">Resulta además revelador que el propio auxiliar administrativo del SESPA sea, con frecuencia, quien gestiona estas bolsas desde las unidades de contratación. Para </w:t>
      </w:r>
      <w:r w:rsidRPr="00154A74">
        <w:lastRenderedPageBreak/>
        <w:t>ese personal, el rigor en el registro de llamadas, la correcta aplicación de los plazos y la trazabilidad del procedimiento son garantías de igualdad y de seguridad jurídica frente a posibles reclamaciones.</w:t>
      </w:r>
    </w:p>
    <w:p w14:paraId="48C3CEE9" w14:textId="77777777" w:rsidR="00154A74" w:rsidRPr="00154A74" w:rsidRDefault="00154A74" w:rsidP="00154A74">
      <w:pPr>
        <w:jc w:val="both"/>
        <w:rPr>
          <w:b/>
        </w:rPr>
      </w:pPr>
      <w:r w:rsidRPr="00154A74">
        <w:rPr>
          <w:b/>
        </w:rPr>
        <w:t>Conclusiones</w:t>
      </w:r>
    </w:p>
    <w:p w14:paraId="1AE5971D" w14:textId="77777777" w:rsidR="00154A74" w:rsidRPr="00154A74" w:rsidRDefault="00154A74" w:rsidP="00154A74">
      <w:pPr>
        <w:jc w:val="both"/>
      </w:pPr>
      <w:r w:rsidRPr="00154A74">
        <w:t>La bolsa de demandantes de empleo temporal de auxiliar administrativo del SESPA es un procedimiento reglado cuyo conocimiento resulta esencial tanto para quien aspira a la categoría como para quien la gestiona. El Pacto sobre contratación de personal temporal ordena la inscripción, el registro de méritos a través de AMBEPE, el llamamiento diario, las situaciones del demandante y un régimen de penalizaciones que distingue con claridad el rechazo de una oferta de la mera imposibilidad de localización.</w:t>
      </w:r>
    </w:p>
    <w:p w14:paraId="74E2FE89" w14:textId="77777777" w:rsidR="00154A74" w:rsidRPr="00154A74" w:rsidRDefault="00154A74" w:rsidP="00154A74">
      <w:pPr>
        <w:jc w:val="both"/>
      </w:pPr>
      <w:r w:rsidRPr="00154A74">
        <w:t>Comprender estas reglas —en especial la actualización anual de méritos y la posibilidad de suspender los llamamientos sin penalización cuando se está trabajando— permite al aspirante a auxiliar administrativo proteger su posición en la lista y evitar exclusiones. A su vez, la gestión transparente y rigurosa de las bolsas por parte del personal administrativo del SESPA constituye una garantía de equidad en el acceso al empleo público temporal.</w:t>
      </w:r>
    </w:p>
    <w:p w14:paraId="434BC727" w14:textId="77777777" w:rsidR="00154A74" w:rsidRPr="00154A74" w:rsidRDefault="00154A74" w:rsidP="00154A74">
      <w:pPr>
        <w:jc w:val="both"/>
        <w:rPr>
          <w:b/>
        </w:rPr>
      </w:pPr>
      <w:r w:rsidRPr="00154A74">
        <w:rPr>
          <w:b/>
        </w:rPr>
        <w:t>Bibliografía (APA)</w:t>
      </w:r>
    </w:p>
    <w:p w14:paraId="4D2406E6" w14:textId="77777777" w:rsidR="00154A74" w:rsidRPr="00154A74" w:rsidRDefault="00154A74" w:rsidP="00154A74">
      <w:pPr>
        <w:jc w:val="both"/>
        <w:rPr>
          <w:b/>
        </w:rPr>
      </w:pPr>
      <w:r w:rsidRPr="00154A74">
        <w:rPr>
          <w:b/>
        </w:rPr>
        <w:t>Normativa y documentos oficiales</w:t>
      </w:r>
    </w:p>
    <w:p w14:paraId="7A297653" w14:textId="77777777" w:rsidR="00154A74" w:rsidRPr="00154A74" w:rsidRDefault="00154A74" w:rsidP="00154A74">
      <w:pPr>
        <w:numPr>
          <w:ilvl w:val="0"/>
          <w:numId w:val="42"/>
        </w:numPr>
        <w:jc w:val="both"/>
      </w:pPr>
      <w:r w:rsidRPr="00154A74">
        <w:t xml:space="preserve">Ley 55/2003, de 16 de diciembre, del Estatuto Marco del personal estatutario de los servicios </w:t>
      </w:r>
      <w:proofErr w:type="spellStart"/>
      <w:r w:rsidRPr="00154A74">
        <w:t>desalud</w:t>
      </w:r>
      <w:proofErr w:type="spellEnd"/>
      <w:r w:rsidRPr="00154A74">
        <w:t>. Boletín Oficial del Estado, núm. 301, de 17 de diciembre de 2003.</w:t>
      </w:r>
    </w:p>
    <w:p w14:paraId="23AD4704" w14:textId="77777777" w:rsidR="00154A74" w:rsidRPr="00154A74" w:rsidRDefault="00154A74" w:rsidP="00154A74">
      <w:pPr>
        <w:numPr>
          <w:ilvl w:val="0"/>
          <w:numId w:val="42"/>
        </w:numPr>
        <w:jc w:val="both"/>
      </w:pPr>
      <w:r w:rsidRPr="00154A74">
        <w:t xml:space="preserve">Ley del Principado de Asturias 7/2019, de 29 de marzo, de Salud. Boletín Oficial del Principado </w:t>
      </w:r>
      <w:proofErr w:type="spellStart"/>
      <w:r w:rsidRPr="00154A74">
        <w:t>deAsturias</w:t>
      </w:r>
      <w:proofErr w:type="spellEnd"/>
      <w:r w:rsidRPr="00154A74">
        <w:t>, núm. 73, de 15 de abril de 2019.</w:t>
      </w:r>
    </w:p>
    <w:p w14:paraId="498A177B" w14:textId="77777777" w:rsidR="00154A74" w:rsidRPr="00154A74" w:rsidRDefault="00154A74" w:rsidP="00154A74">
      <w:pPr>
        <w:numPr>
          <w:ilvl w:val="0"/>
          <w:numId w:val="42"/>
        </w:numPr>
        <w:jc w:val="both"/>
      </w:pPr>
      <w:r w:rsidRPr="00154A74">
        <w:t xml:space="preserve">Pacto sobre contratación de personal temporal y sobre promoción interna temporal del Servicio </w:t>
      </w:r>
      <w:proofErr w:type="spellStart"/>
      <w:r w:rsidRPr="00154A74">
        <w:t>deSalud</w:t>
      </w:r>
      <w:proofErr w:type="spellEnd"/>
      <w:r w:rsidRPr="00154A74">
        <w:t xml:space="preserve"> del Principado de Asturias (2001), en su redacción vigente tras sucesivas modificaciones (texto actualizado a 2024).</w:t>
      </w:r>
    </w:p>
    <w:p w14:paraId="51B397E8" w14:textId="77777777" w:rsidR="00154A74" w:rsidRPr="00154A74" w:rsidRDefault="00154A74" w:rsidP="00154A74">
      <w:pPr>
        <w:numPr>
          <w:ilvl w:val="0"/>
          <w:numId w:val="42"/>
        </w:numPr>
        <w:jc w:val="both"/>
      </w:pPr>
      <w:r w:rsidRPr="00154A74">
        <w:t xml:space="preserve">Resolución de 16 de enero de 2023, de la Dirección Gerencia del Servicio de Salud del </w:t>
      </w:r>
      <w:proofErr w:type="spellStart"/>
      <w:r w:rsidRPr="00154A74">
        <w:t>Principadode</w:t>
      </w:r>
      <w:proofErr w:type="spellEnd"/>
      <w:r w:rsidRPr="00154A74">
        <w:t xml:space="preserve"> Asturias, por la que se modifica el Pacto sobre contratación de personal temporal y sobre promoción interna temporal. Boletín Oficial del Principado de Asturias.</w:t>
      </w:r>
    </w:p>
    <w:p w14:paraId="71D79165" w14:textId="77777777" w:rsidR="00154A74" w:rsidRPr="00154A74" w:rsidRDefault="00154A74" w:rsidP="00154A74">
      <w:pPr>
        <w:jc w:val="both"/>
        <w:rPr>
          <w:b/>
        </w:rPr>
      </w:pPr>
      <w:r w:rsidRPr="00154A74">
        <w:rPr>
          <w:b/>
        </w:rPr>
        <w:t>Documentos institucionales</w:t>
      </w:r>
    </w:p>
    <w:p w14:paraId="75F1C207" w14:textId="77777777" w:rsidR="00154A74" w:rsidRPr="00154A74" w:rsidRDefault="00154A74" w:rsidP="00154A74">
      <w:pPr>
        <w:jc w:val="both"/>
      </w:pPr>
      <w:r w:rsidRPr="00154A74">
        <w:t xml:space="preserve">•  Servicio de Salud del Principado de Asturias (SESPA). (s. f.). Contratación temporal: inscripción, registro de méritos (AMBEPE) y gestión de llamadas. </w:t>
      </w:r>
      <w:proofErr w:type="spellStart"/>
      <w:r w:rsidRPr="00154A74">
        <w:t>Astursalud</w:t>
      </w:r>
      <w:proofErr w:type="spellEnd"/>
      <w:r w:rsidRPr="00154A74">
        <w:t>. https://www.astursalud.es</w:t>
      </w:r>
    </w:p>
    <w:p w14:paraId="56E1FA50" w14:textId="77777777" w:rsidR="009062E0" w:rsidRPr="009062E0" w:rsidRDefault="009062E0" w:rsidP="009062E0">
      <w:pPr>
        <w:jc w:val="both"/>
      </w:pPr>
      <w:r w:rsidRPr="009062E0">
        <w:rPr>
          <w:b/>
        </w:rPr>
        <w:lastRenderedPageBreak/>
        <w:t>Gestión administrativa de las listas de espera y garantía de tiempos de respuesta en el SESPA</w:t>
      </w:r>
    </w:p>
    <w:p w14:paraId="364CBF02" w14:textId="77777777" w:rsidR="009062E0" w:rsidRPr="009062E0" w:rsidRDefault="009062E0" w:rsidP="009062E0">
      <w:pPr>
        <w:jc w:val="both"/>
        <w:rPr>
          <w:b/>
        </w:rPr>
      </w:pPr>
      <w:r w:rsidRPr="009062E0">
        <w:rPr>
          <w:b/>
        </w:rPr>
        <w:t>Resumen</w:t>
      </w:r>
    </w:p>
    <w:p w14:paraId="39487170" w14:textId="77777777" w:rsidR="009062E0" w:rsidRPr="009062E0" w:rsidRDefault="009062E0" w:rsidP="009062E0">
      <w:pPr>
        <w:jc w:val="both"/>
      </w:pPr>
      <w:r w:rsidRPr="009062E0">
        <w:t>Las listas de espera constituyen uno de los indicadores más sensibles de la sanidad pública y una de las principales fuentes de reclamación. Aunque su origen es asistencial, su gestión es en gran medida administrativa. Este artículo analiza el marco que garantiza los tiempos máximos de respuesta en el Sistema Nacional de Salud y, de forma específica, en el Servicio de Salud del Principado de Asturias (SESPA), donde el Decreto 59/2018 fijó plazos máximos y creó el Registro de Demanda Asistencial del Principado de Asturias. Se describe el papel del personal administrativo de las áreas sanitarias en la inscripción, depuración y certificación de la demanda, y se concluye que una gestión rigurosa y transparente es condición necesaria para que las garantías legales sean efectivas para la ciudadanía asturiana.</w:t>
      </w:r>
    </w:p>
    <w:p w14:paraId="2B34BAFE" w14:textId="77777777" w:rsidR="009062E0" w:rsidRPr="009062E0" w:rsidRDefault="009062E0" w:rsidP="009062E0">
      <w:pPr>
        <w:jc w:val="both"/>
        <w:rPr>
          <w:b/>
        </w:rPr>
      </w:pPr>
      <w:r w:rsidRPr="009062E0">
        <w:rPr>
          <w:b/>
        </w:rPr>
        <w:t>Palabras clave</w:t>
      </w:r>
    </w:p>
    <w:p w14:paraId="20F66BEE" w14:textId="77777777" w:rsidR="009062E0" w:rsidRPr="009062E0" w:rsidRDefault="009062E0" w:rsidP="009062E0">
      <w:pPr>
        <w:jc w:val="both"/>
      </w:pPr>
      <w:r w:rsidRPr="009062E0">
        <w:t>Listas de espera, tiempos de respuesta, Registro de Demanda Asistencial, SESPA, Decreto 59/2018, auxiliar administrativo.</w:t>
      </w:r>
    </w:p>
    <w:p w14:paraId="28975225" w14:textId="77777777" w:rsidR="009062E0" w:rsidRPr="009062E0" w:rsidRDefault="009062E0" w:rsidP="009062E0">
      <w:pPr>
        <w:jc w:val="both"/>
        <w:rPr>
          <w:b/>
        </w:rPr>
      </w:pPr>
      <w:r w:rsidRPr="009062E0">
        <w:rPr>
          <w:b/>
        </w:rPr>
        <w:t>Introducción</w:t>
      </w:r>
    </w:p>
    <w:p w14:paraId="50371042" w14:textId="77777777" w:rsidR="009062E0" w:rsidRPr="009062E0" w:rsidRDefault="009062E0" w:rsidP="009062E0">
      <w:pPr>
        <w:jc w:val="both"/>
      </w:pPr>
      <w:r w:rsidRPr="009062E0">
        <w:t>La lista de espera se define como el conjunto de pacientes que, indicados por un facultativo para recibir una prestación, están pendientes de que esta se haga efectiva. Las listas de espera quirúrgica, de consultas externas y de pruebas diagnósticas condicionan directamente la percepción de calidad y equidad del servicio público.</w:t>
      </w:r>
    </w:p>
    <w:p w14:paraId="6B77A45E" w14:textId="77777777" w:rsidR="009062E0" w:rsidRPr="009062E0" w:rsidRDefault="009062E0" w:rsidP="009062E0">
      <w:pPr>
        <w:jc w:val="both"/>
      </w:pPr>
      <w:r w:rsidRPr="009062E0">
        <w:t>La normativa española reconoce el derecho a recibir asistencia en un tiempo máximo. La Ley 16/2003 habilitó a las comunidades autónomas a fijar esos plazos, y el Estado estableció un marco común de criterios. En Asturias, el Decreto 59/2018 concretó las garantías de tiempo máximo de acceso a las prestaciones del SESPA y creó el Registro de Demanda Asistencial del Principado de Asturias. La materialización de estas garantías depende de la gestión administrativa que se realiza en las áreas sanitarias y en el Servicio de Atención al Ciudadano: si los registros no son fiables o no se depuran, las garantías quedan en una simple afirmación.</w:t>
      </w:r>
    </w:p>
    <w:p w14:paraId="67E995AB" w14:textId="77777777" w:rsidR="009062E0" w:rsidRPr="009062E0" w:rsidRDefault="009062E0" w:rsidP="009062E0">
      <w:pPr>
        <w:jc w:val="both"/>
      </w:pPr>
      <w:r w:rsidRPr="009062E0">
        <w:t>Este artículo describe el marco de las garantías de tiempo de respuesta y delimita las funciones del personal administrativo en la gestión de las listas de espera del SESPA.</w:t>
      </w:r>
    </w:p>
    <w:p w14:paraId="071FB424" w14:textId="77777777" w:rsidR="009062E0" w:rsidRPr="009062E0" w:rsidRDefault="009062E0" w:rsidP="009062E0">
      <w:pPr>
        <w:jc w:val="both"/>
        <w:rPr>
          <w:b/>
        </w:rPr>
      </w:pPr>
      <w:r w:rsidRPr="009062E0">
        <w:rPr>
          <w:b/>
        </w:rPr>
        <w:t>Metodología</w:t>
      </w:r>
    </w:p>
    <w:p w14:paraId="664E7595" w14:textId="77777777" w:rsidR="009062E0" w:rsidRPr="009062E0" w:rsidRDefault="009062E0" w:rsidP="009062E0">
      <w:pPr>
        <w:jc w:val="both"/>
      </w:pPr>
      <w:r w:rsidRPr="009062E0">
        <w:lastRenderedPageBreak/>
        <w:t>El trabajo se basa en una revisión normativa y documental de carácter descriptivo. Se han analizado la Ley 16/2003, de 28 de mayo; el Real Decreto 605/2003, sobre el tratamiento homogéneo de la información sobre listas de espera; el Real Decreto 1039/2011, que fija los criterios marco de tiempo máximo de acceso; y el Decreto 59/2018 del Principado de Asturias. Tomando como referencia estas fuentes se han reconstruido los plazos garantizados y las tareas administrativas asociadas a la gestión de la demanda en el SESPA.</w:t>
      </w:r>
    </w:p>
    <w:p w14:paraId="6B01D148" w14:textId="77777777" w:rsidR="009062E0" w:rsidRPr="009062E0" w:rsidRDefault="009062E0" w:rsidP="009062E0">
      <w:pPr>
        <w:jc w:val="both"/>
        <w:rPr>
          <w:b/>
        </w:rPr>
      </w:pPr>
      <w:r w:rsidRPr="009062E0">
        <w:rPr>
          <w:b/>
        </w:rPr>
        <w:t>Resultados</w:t>
      </w:r>
    </w:p>
    <w:p w14:paraId="3FC6B689" w14:textId="77777777" w:rsidR="009062E0" w:rsidRPr="009062E0" w:rsidRDefault="009062E0" w:rsidP="009062E0">
      <w:pPr>
        <w:jc w:val="both"/>
      </w:pPr>
      <w:r w:rsidRPr="009062E0">
        <w:t>El primer resultado es la existencia de garantías de tiempo máximo en Asturias. El Decreto 59/2018 establece, entre otros, los siguientes plazos de referencia:</w:t>
      </w:r>
    </w:p>
    <w:p w14:paraId="45557784" w14:textId="77777777" w:rsidR="009062E0" w:rsidRPr="009062E0" w:rsidRDefault="009062E0" w:rsidP="009062E0">
      <w:pPr>
        <w:jc w:val="both"/>
      </w:pPr>
      <w:r w:rsidRPr="009062E0">
        <w:t>Un máximo de sesenta días para determinadas pruebas diagnósticas, como mamografías, resonancias, ecografías, colonoscopias y TAC.</w:t>
      </w:r>
    </w:p>
    <w:p w14:paraId="7AD6E34F" w14:textId="77777777" w:rsidR="009062E0" w:rsidRPr="009062E0" w:rsidRDefault="009062E0" w:rsidP="009062E0">
      <w:pPr>
        <w:jc w:val="both"/>
      </w:pPr>
      <w:r w:rsidRPr="009062E0">
        <w:t>Un máximo de sesenta días para la primera consulta en determinadas especialidades de especial demanda.</w:t>
      </w:r>
    </w:p>
    <w:p w14:paraId="20DB3E2B" w14:textId="77777777" w:rsidR="009062E0" w:rsidRPr="009062E0" w:rsidRDefault="009062E0" w:rsidP="009062E0">
      <w:pPr>
        <w:jc w:val="both"/>
      </w:pPr>
      <w:r w:rsidRPr="009062E0">
        <w:t>Un máximo de ciento ochenta días para determinadas intervenciones quirúrgicas, como cirugía cardíaca, cataratas, prótesis de cadera y rodilla o histerectomías.</w:t>
      </w:r>
    </w:p>
    <w:p w14:paraId="15ECC3D3" w14:textId="77777777" w:rsidR="009062E0" w:rsidRPr="009062E0" w:rsidRDefault="009062E0" w:rsidP="009062E0">
      <w:pPr>
        <w:jc w:val="both"/>
      </w:pPr>
      <w:r w:rsidRPr="009062E0">
        <w:t xml:space="preserve">El segundo resultado son los instrumentos de registro y transparencia propios del SESPA. El Registro de Demanda Asistencial del Principado de Asturias permite conocer la situación de cada paciente, y el SESPA debe expedir, a quien lo solicite, un certificado de inclusión y de garantía de tiempos máximos a través del Servicio de Atención al Ciudadano. La información sobre listas de espera debe tratarse de forma homogénea para permitir su comparación dentro del Sistema Nacional de Salud, y el SESPA la difunde periódicamente a través del portal </w:t>
      </w:r>
      <w:proofErr w:type="spellStart"/>
      <w:r w:rsidRPr="009062E0">
        <w:t>Astursalud</w:t>
      </w:r>
      <w:proofErr w:type="spellEnd"/>
      <w:r w:rsidRPr="009062E0">
        <w:t>.</w:t>
      </w:r>
    </w:p>
    <w:p w14:paraId="37214514" w14:textId="77777777" w:rsidR="009062E0" w:rsidRPr="009062E0" w:rsidRDefault="009062E0" w:rsidP="009062E0">
      <w:pPr>
        <w:jc w:val="both"/>
      </w:pPr>
      <w:r w:rsidRPr="009062E0">
        <w:t>El tercer resultado son las tareas administrativas. El personal de las áreas sanitarias del SESPA interviene en la inscripción del paciente en el Registro de Demanda Asistencial, en la planificación y gestión de agendas, en la citación, en la depuración del registro —identificando pacientes ilocalizables, rechazos de cita o duplicidades— y en la expedición de certificados. Esta depuración es imprescindible: una lista no depurada exagera la demora efectiva y dificulta una gestión justa de las prioridades.</w:t>
      </w:r>
    </w:p>
    <w:p w14:paraId="1263D86D" w14:textId="77777777" w:rsidR="009062E0" w:rsidRPr="009062E0" w:rsidRDefault="009062E0" w:rsidP="009062E0">
      <w:pPr>
        <w:jc w:val="both"/>
        <w:rPr>
          <w:b/>
        </w:rPr>
      </w:pPr>
      <w:r w:rsidRPr="009062E0">
        <w:rPr>
          <w:b/>
        </w:rPr>
        <w:t>Discusión</w:t>
      </w:r>
    </w:p>
    <w:p w14:paraId="1B727E01" w14:textId="77777777" w:rsidR="009062E0" w:rsidRPr="009062E0" w:rsidRDefault="009062E0" w:rsidP="009062E0">
      <w:pPr>
        <w:jc w:val="both"/>
      </w:pPr>
      <w:r w:rsidRPr="009062E0">
        <w:t>Las garantías de tiempo máximo solo son creíbles si descansan en registros fiables. Aquí reside la principal aportación del trabajo administrativo: la calidad del dato. Una inscripción incorrecta o una falta de depuración pueden traducirse en demoras aparentes, reclamaciones injustificadas o, lo que es más grave, en pacientes que pierden su turno. La gestión administrativa es, por tanto, custodio de la equidad en el acceso a las prestaciones del SESPA.</w:t>
      </w:r>
    </w:p>
    <w:p w14:paraId="1258ACE1" w14:textId="77777777" w:rsidR="009062E0" w:rsidRPr="009062E0" w:rsidRDefault="009062E0" w:rsidP="009062E0">
      <w:pPr>
        <w:jc w:val="both"/>
      </w:pPr>
      <w:r w:rsidRPr="009062E0">
        <w:lastRenderedPageBreak/>
        <w:t xml:space="preserve">Un segundo aspecto es la tensión entre la presión asistencial y la transparencia. La publicación de datos de listas de espera en </w:t>
      </w:r>
      <w:proofErr w:type="spellStart"/>
      <w:r w:rsidRPr="009062E0">
        <w:t>Astursalud</w:t>
      </w:r>
      <w:proofErr w:type="spellEnd"/>
      <w:r w:rsidRPr="009062E0">
        <w:t xml:space="preserve"> somete al sistema a un examen público que exige rigor y criterios homogéneos de clasificación, así como una atención adecuada de las reclamaciones cuando se superan los plazos comprometidos por el Decreto 59/2018.</w:t>
      </w:r>
    </w:p>
    <w:p w14:paraId="6EECF646" w14:textId="77777777" w:rsidR="009062E0" w:rsidRPr="009062E0" w:rsidRDefault="009062E0" w:rsidP="009062E0">
      <w:pPr>
        <w:jc w:val="both"/>
      </w:pPr>
      <w:r w:rsidRPr="009062E0">
        <w:t>Finalmente, la coordinación entre niveles asistenciales y la priorización clínica obligan a una comunicación fluida entre el ámbito administrativo y el sanitario dentro de cada área sanitaria del SESPA.</w:t>
      </w:r>
    </w:p>
    <w:p w14:paraId="13B0C0A9" w14:textId="77777777" w:rsidR="009062E0" w:rsidRPr="009062E0" w:rsidRDefault="009062E0" w:rsidP="009062E0">
      <w:pPr>
        <w:jc w:val="both"/>
        <w:rPr>
          <w:b/>
        </w:rPr>
      </w:pPr>
      <w:r w:rsidRPr="009062E0">
        <w:rPr>
          <w:b/>
        </w:rPr>
        <w:t>Conclusiones</w:t>
      </w:r>
    </w:p>
    <w:p w14:paraId="7EDBD627" w14:textId="77777777" w:rsidR="009062E0" w:rsidRPr="009062E0" w:rsidRDefault="009062E0" w:rsidP="009062E0">
      <w:pPr>
        <w:jc w:val="both"/>
      </w:pPr>
      <w:r w:rsidRPr="009062E0">
        <w:t>La gestión de las listas de espera entrelaza lo administrativo y lo asistencial de forma indisociable. El Decreto 59/2018 establece garantías de tiempo máximo cuya efectividad depende directamente de la calidad de los registros y de la rigurosa labor de inscripción, depuración y certificación que realiza el personal administrativo del SESPA.</w:t>
      </w:r>
    </w:p>
    <w:p w14:paraId="52B3904D" w14:textId="77777777" w:rsidR="009062E0" w:rsidRPr="009062E0" w:rsidRDefault="009062E0" w:rsidP="009062E0">
      <w:pPr>
        <w:jc w:val="both"/>
      </w:pPr>
      <w:r w:rsidRPr="009062E0">
        <w:t>Una gestión transparente, basada en datos fiables, convierte las garantías legales en derechos reales para la ciudadanía asturiana. El auxiliar administrativo, lejos de ocupar un papel secundario, es un agente decisivo de la equidad y de la calidad del servicio público sanitario.</w:t>
      </w:r>
    </w:p>
    <w:p w14:paraId="4DB3B6CF" w14:textId="77777777" w:rsidR="009062E0" w:rsidRPr="009062E0" w:rsidRDefault="009062E0" w:rsidP="009062E0">
      <w:pPr>
        <w:jc w:val="both"/>
        <w:rPr>
          <w:b/>
        </w:rPr>
      </w:pPr>
      <w:r w:rsidRPr="009062E0">
        <w:rPr>
          <w:b/>
        </w:rPr>
        <w:t>Bibliografía (APA)</w:t>
      </w:r>
    </w:p>
    <w:p w14:paraId="0278FF11" w14:textId="77777777" w:rsidR="009062E0" w:rsidRPr="009062E0" w:rsidRDefault="009062E0" w:rsidP="009062E0">
      <w:pPr>
        <w:jc w:val="both"/>
        <w:rPr>
          <w:b/>
        </w:rPr>
      </w:pPr>
      <w:r w:rsidRPr="009062E0">
        <w:rPr>
          <w:b/>
        </w:rPr>
        <w:t>Normativa y documentos oficiales</w:t>
      </w:r>
    </w:p>
    <w:p w14:paraId="76DDD6CF" w14:textId="77777777" w:rsidR="009062E0" w:rsidRPr="009062E0" w:rsidRDefault="009062E0" w:rsidP="009062E0">
      <w:pPr>
        <w:numPr>
          <w:ilvl w:val="0"/>
          <w:numId w:val="43"/>
        </w:numPr>
        <w:jc w:val="both"/>
      </w:pPr>
      <w:r w:rsidRPr="009062E0">
        <w:t xml:space="preserve">Ley 16/2003, de 28 de mayo, de cohesión y calidad del Sistema Nacional de Salud (modificada por </w:t>
      </w:r>
      <w:proofErr w:type="spellStart"/>
      <w:r w:rsidRPr="009062E0">
        <w:t>laLey</w:t>
      </w:r>
      <w:proofErr w:type="spellEnd"/>
      <w:r w:rsidRPr="009062E0">
        <w:t xml:space="preserve"> 3/2024, de 30 de octubre). Boletín Oficial del Estado, núm. 128, de 29 de mayo de 2003.</w:t>
      </w:r>
    </w:p>
    <w:p w14:paraId="3786C6C7" w14:textId="77777777" w:rsidR="009062E0" w:rsidRPr="009062E0" w:rsidRDefault="009062E0" w:rsidP="009062E0">
      <w:pPr>
        <w:numPr>
          <w:ilvl w:val="0"/>
          <w:numId w:val="43"/>
        </w:numPr>
        <w:jc w:val="both"/>
      </w:pPr>
      <w:r w:rsidRPr="009062E0">
        <w:t xml:space="preserve">Real Decreto 605/2003, de 23 de mayo, por el que se establecen medidas para el </w:t>
      </w:r>
      <w:proofErr w:type="spellStart"/>
      <w:r w:rsidRPr="009062E0">
        <w:t>tratamientohomogéneo</w:t>
      </w:r>
      <w:proofErr w:type="spellEnd"/>
      <w:r w:rsidRPr="009062E0">
        <w:t xml:space="preserve"> de la información sobre las listas de espera en el Sistema Nacional de Salud. Boletín Oficial del Estado, núm. 134, de 5 de junio de 2003.</w:t>
      </w:r>
    </w:p>
    <w:p w14:paraId="48848959" w14:textId="77777777" w:rsidR="009062E0" w:rsidRPr="009062E0" w:rsidRDefault="009062E0" w:rsidP="009062E0">
      <w:pPr>
        <w:numPr>
          <w:ilvl w:val="0"/>
          <w:numId w:val="43"/>
        </w:numPr>
        <w:jc w:val="both"/>
      </w:pPr>
      <w:r w:rsidRPr="009062E0">
        <w:t xml:space="preserve">Real Decreto 1039/2011, de 15 de julio, por el que se establecen los criterios marco para garantizar </w:t>
      </w:r>
      <w:proofErr w:type="spellStart"/>
      <w:r w:rsidRPr="009062E0">
        <w:t>untiempo</w:t>
      </w:r>
      <w:proofErr w:type="spellEnd"/>
      <w:r w:rsidRPr="009062E0">
        <w:t xml:space="preserve"> máximo de acceso a las prestaciones sanitarias del Sistema Nacional de Salud. Boletín Oficial del Estado, núm. 207, de 29 de agosto de 2011.</w:t>
      </w:r>
    </w:p>
    <w:p w14:paraId="1F95F8FF" w14:textId="77777777" w:rsidR="009062E0" w:rsidRPr="009062E0" w:rsidRDefault="009062E0" w:rsidP="009062E0">
      <w:pPr>
        <w:numPr>
          <w:ilvl w:val="0"/>
          <w:numId w:val="43"/>
        </w:numPr>
        <w:jc w:val="both"/>
      </w:pPr>
      <w:r w:rsidRPr="009062E0">
        <w:t xml:space="preserve">Decreto 59/2018, de 26 de septiembre, sobre garantía de tiempo máximo de acceso a las </w:t>
      </w:r>
      <w:proofErr w:type="spellStart"/>
      <w:r w:rsidRPr="009062E0">
        <w:t>prestacionessanitarias</w:t>
      </w:r>
      <w:proofErr w:type="spellEnd"/>
      <w:r w:rsidRPr="009062E0">
        <w:t xml:space="preserve"> del Servicio de Salud del Principado de Asturias, información sobre listas de espera y</w:t>
      </w:r>
    </w:p>
    <w:p w14:paraId="577E040F" w14:textId="77777777" w:rsidR="009062E0" w:rsidRPr="009062E0" w:rsidRDefault="009062E0" w:rsidP="009062E0">
      <w:pPr>
        <w:jc w:val="both"/>
      </w:pPr>
      <w:r w:rsidRPr="009062E0">
        <w:t>Registro de Demanda Asistencial del Principado de Asturias. Boletín Oficial del Principado de Asturias, de 8 de octubre de 2018.</w:t>
      </w:r>
    </w:p>
    <w:p w14:paraId="186EA0D9" w14:textId="77777777" w:rsidR="009062E0" w:rsidRPr="009062E0" w:rsidRDefault="009062E0" w:rsidP="009062E0">
      <w:pPr>
        <w:jc w:val="both"/>
        <w:rPr>
          <w:b/>
        </w:rPr>
      </w:pPr>
      <w:r w:rsidRPr="009062E0">
        <w:rPr>
          <w:b/>
        </w:rPr>
        <w:lastRenderedPageBreak/>
        <w:t>Documentos institucionales</w:t>
      </w:r>
    </w:p>
    <w:p w14:paraId="671D5FCC" w14:textId="77777777" w:rsidR="009062E0" w:rsidRPr="009062E0" w:rsidRDefault="009062E0" w:rsidP="009062E0">
      <w:pPr>
        <w:jc w:val="both"/>
      </w:pPr>
      <w:r w:rsidRPr="009062E0">
        <w:t>•  Servicio de Salud del Principado de Asturias (SESPA). (s. f.). Información sobre listas de espera.</w:t>
      </w:r>
    </w:p>
    <w:p w14:paraId="6CF11370" w14:textId="77777777" w:rsidR="009062E0" w:rsidRPr="009062E0" w:rsidRDefault="009062E0" w:rsidP="009062E0">
      <w:pPr>
        <w:jc w:val="both"/>
      </w:pPr>
      <w:proofErr w:type="spellStart"/>
      <w:r w:rsidRPr="009062E0">
        <w:t>Astursalud</w:t>
      </w:r>
      <w:proofErr w:type="spellEnd"/>
      <w:r w:rsidRPr="009062E0">
        <w:t>. https://www.astursalud.es</w:t>
      </w:r>
    </w:p>
    <w:p w14:paraId="2782CCB0" w14:textId="77777777" w:rsidR="001B092D" w:rsidRDefault="001B092D" w:rsidP="00CE24EF">
      <w:pPr>
        <w:jc w:val="both"/>
      </w:pPr>
    </w:p>
    <w:p w14:paraId="13515A70" w14:textId="77777777" w:rsidR="001B092D" w:rsidRDefault="001B092D" w:rsidP="00CE24EF">
      <w:pPr>
        <w:jc w:val="both"/>
      </w:pPr>
    </w:p>
    <w:p w14:paraId="347A5ED4" w14:textId="77777777" w:rsidR="001B092D" w:rsidRDefault="001B092D" w:rsidP="00CE24EF">
      <w:pPr>
        <w:jc w:val="both"/>
      </w:pPr>
    </w:p>
    <w:p w14:paraId="46931FC4" w14:textId="77777777" w:rsidR="001B092D" w:rsidRDefault="001B092D" w:rsidP="00CE24EF">
      <w:pPr>
        <w:jc w:val="both"/>
      </w:pPr>
    </w:p>
    <w:p w14:paraId="66B47E7E" w14:textId="77777777" w:rsidR="001B092D" w:rsidRDefault="001B092D" w:rsidP="00CE24EF">
      <w:pPr>
        <w:jc w:val="both"/>
      </w:pPr>
    </w:p>
    <w:p w14:paraId="1623C7EE" w14:textId="77777777" w:rsidR="001B092D" w:rsidRDefault="001B092D" w:rsidP="00CE24EF">
      <w:pPr>
        <w:jc w:val="both"/>
      </w:pPr>
    </w:p>
    <w:p w14:paraId="6E595372" w14:textId="77777777" w:rsidR="001B092D" w:rsidRDefault="001B092D" w:rsidP="00CE24EF">
      <w:pPr>
        <w:jc w:val="both"/>
      </w:pPr>
    </w:p>
    <w:p w14:paraId="6AA8840C" w14:textId="77777777" w:rsidR="001B092D" w:rsidRDefault="001B092D" w:rsidP="00CE24EF">
      <w:pPr>
        <w:jc w:val="both"/>
      </w:pPr>
    </w:p>
    <w:p w14:paraId="42524B3B" w14:textId="77777777" w:rsidR="001B092D" w:rsidRDefault="001B092D" w:rsidP="00CE24EF">
      <w:pPr>
        <w:jc w:val="both"/>
      </w:pPr>
    </w:p>
    <w:p w14:paraId="72CD4403" w14:textId="77777777" w:rsidR="001B092D" w:rsidRDefault="001B092D" w:rsidP="00CE24EF">
      <w:pPr>
        <w:jc w:val="both"/>
      </w:pPr>
    </w:p>
    <w:p w14:paraId="42EBA5BD" w14:textId="77777777" w:rsidR="0054477F" w:rsidRDefault="0054477F" w:rsidP="00CE24EF">
      <w:pPr>
        <w:jc w:val="both"/>
      </w:pPr>
    </w:p>
    <w:p w14:paraId="36BA0EEB" w14:textId="77777777" w:rsidR="0054477F" w:rsidRDefault="0054477F" w:rsidP="00CE24EF">
      <w:pPr>
        <w:jc w:val="both"/>
      </w:pPr>
    </w:p>
    <w:p w14:paraId="65876842" w14:textId="77777777" w:rsidR="0054477F" w:rsidRDefault="0054477F" w:rsidP="00CE24EF">
      <w:pPr>
        <w:jc w:val="both"/>
      </w:pPr>
    </w:p>
    <w:p w14:paraId="1F525284" w14:textId="77777777" w:rsidR="0054477F" w:rsidRDefault="0054477F" w:rsidP="00CE24EF">
      <w:pPr>
        <w:jc w:val="both"/>
      </w:pPr>
    </w:p>
    <w:p w14:paraId="54E5384B" w14:textId="77777777" w:rsidR="0054477F" w:rsidRDefault="0054477F" w:rsidP="00CE24EF">
      <w:pPr>
        <w:jc w:val="both"/>
      </w:pPr>
    </w:p>
    <w:p w14:paraId="34B5E0AF" w14:textId="77777777" w:rsidR="0054477F" w:rsidRDefault="0054477F" w:rsidP="00CE24EF">
      <w:pPr>
        <w:jc w:val="both"/>
      </w:pPr>
    </w:p>
    <w:p w14:paraId="0F16B221" w14:textId="77777777" w:rsidR="0054477F" w:rsidRDefault="0054477F" w:rsidP="00CE24EF">
      <w:pPr>
        <w:jc w:val="both"/>
      </w:pPr>
    </w:p>
    <w:p w14:paraId="79F33ADC" w14:textId="77777777" w:rsidR="0054477F" w:rsidRDefault="0054477F" w:rsidP="00CE24EF">
      <w:pPr>
        <w:jc w:val="both"/>
      </w:pPr>
    </w:p>
    <w:p w14:paraId="6695B167" w14:textId="77777777" w:rsidR="0054477F" w:rsidRDefault="0054477F" w:rsidP="00CE24EF">
      <w:pPr>
        <w:jc w:val="both"/>
      </w:pPr>
    </w:p>
    <w:p w14:paraId="48ACC504" w14:textId="77777777" w:rsidR="0054477F" w:rsidRDefault="0054477F" w:rsidP="00CE24EF">
      <w:pPr>
        <w:jc w:val="both"/>
      </w:pPr>
    </w:p>
    <w:p w14:paraId="08F8E255" w14:textId="77777777" w:rsidR="0054477F" w:rsidRDefault="0054477F" w:rsidP="00CE24EF">
      <w:pPr>
        <w:jc w:val="both"/>
      </w:pPr>
    </w:p>
    <w:p w14:paraId="21C2DC2A" w14:textId="77777777" w:rsidR="0054477F" w:rsidRDefault="0054477F" w:rsidP="00CE24EF">
      <w:pPr>
        <w:jc w:val="both"/>
      </w:pPr>
    </w:p>
    <w:p w14:paraId="480DDEDC" w14:textId="77777777" w:rsidR="0054477F" w:rsidRDefault="0054477F" w:rsidP="00CE24EF">
      <w:pPr>
        <w:jc w:val="both"/>
      </w:pPr>
    </w:p>
    <w:p w14:paraId="3C6CE52E" w14:textId="77777777" w:rsidR="0054477F" w:rsidRDefault="0054477F" w:rsidP="00CE24EF">
      <w:pPr>
        <w:jc w:val="both"/>
      </w:pPr>
    </w:p>
    <w:p w14:paraId="125CA80A" w14:textId="77777777" w:rsidR="00534248" w:rsidRPr="00534248" w:rsidRDefault="00534248" w:rsidP="00534248">
      <w:pPr>
        <w:jc w:val="both"/>
      </w:pPr>
      <w:r w:rsidRPr="00534248">
        <w:rPr>
          <w:b/>
        </w:rPr>
        <w:lastRenderedPageBreak/>
        <w:t>La administración electrónica en el SESPA: registro y tramitación de documentos según la Ley 39/2015</w:t>
      </w:r>
    </w:p>
    <w:p w14:paraId="07A741DB" w14:textId="77777777" w:rsidR="00534248" w:rsidRPr="00534248" w:rsidRDefault="00534248" w:rsidP="00534248">
      <w:pPr>
        <w:jc w:val="both"/>
        <w:rPr>
          <w:b/>
        </w:rPr>
      </w:pPr>
      <w:r w:rsidRPr="00534248">
        <w:rPr>
          <w:b/>
        </w:rPr>
        <w:t>Resumen</w:t>
      </w:r>
    </w:p>
    <w:p w14:paraId="36962735" w14:textId="77777777" w:rsidR="00534248" w:rsidRPr="00534248" w:rsidRDefault="00534248" w:rsidP="00534248">
      <w:pPr>
        <w:jc w:val="both"/>
      </w:pPr>
      <w:r w:rsidRPr="00534248">
        <w:t>La Ley 39/2015, de 1 de octubre, del Procedimiento Administrativo Común de las Administraciones Públicas, ha consolidado la administración electrónica como el modelo ordinario de relación entre la ciudadanía y el sector público. En un ente como el Servicio de Salud del Principado de Asturias (SESPA), esta transformación afecta de lleno al trabajo del personal administrativo, responsable del registro, la tramitación, la notificación y el archivo de documentos por medios electrónicos. Este artículo describe los principales instrumentos de la administración electrónica —sede electrónica, registro electrónico, identificación y firma, notificación y expediente electrónico— y analiza las funciones que el auxiliar administrativo desempeña en su aplicación. Se concluye que la administración electrónica no sustituye al personal, sino que redefine sus competencias, exigiendo formación tecnológica y un conocimiento preciso del marco jurídico y de seguridad.</w:t>
      </w:r>
    </w:p>
    <w:p w14:paraId="396ADC05" w14:textId="77777777" w:rsidR="00534248" w:rsidRPr="00534248" w:rsidRDefault="00534248" w:rsidP="00534248">
      <w:pPr>
        <w:jc w:val="both"/>
        <w:rPr>
          <w:b/>
        </w:rPr>
      </w:pPr>
      <w:r w:rsidRPr="00534248">
        <w:rPr>
          <w:b/>
        </w:rPr>
        <w:t>Palabras clave</w:t>
      </w:r>
    </w:p>
    <w:p w14:paraId="53877565" w14:textId="77777777" w:rsidR="00534248" w:rsidRPr="00534248" w:rsidRDefault="00534248" w:rsidP="00534248">
      <w:pPr>
        <w:jc w:val="both"/>
      </w:pPr>
      <w:r w:rsidRPr="00534248">
        <w:t>Administración electrónica, Ley 39/2015, registro electrónico, sede electrónica, auxiliar administrativo, sector público.</w:t>
      </w:r>
    </w:p>
    <w:p w14:paraId="0EAF8BC5" w14:textId="77777777" w:rsidR="00534248" w:rsidRPr="00534248" w:rsidRDefault="00534248" w:rsidP="00534248">
      <w:pPr>
        <w:jc w:val="both"/>
        <w:rPr>
          <w:b/>
        </w:rPr>
      </w:pPr>
      <w:r w:rsidRPr="00534248">
        <w:rPr>
          <w:b/>
        </w:rPr>
        <w:t>Introducción</w:t>
      </w:r>
    </w:p>
    <w:p w14:paraId="7F91C381" w14:textId="77777777" w:rsidR="00534248" w:rsidRPr="00534248" w:rsidRDefault="00534248" w:rsidP="00534248">
      <w:pPr>
        <w:jc w:val="both"/>
      </w:pPr>
      <w:r w:rsidRPr="00534248">
        <w:t>La administración electrónica puede definirse como el conjunto de medios tecnológicos que permiten a las Administraciones públicas desarrollar su actividad y relacionarse con la ciudadanía de forma íntegramente digital. Su implantación responde a un mandato legal: la Ley 39/2015 establece que las personas jurídicas, las entidades sin personalidad y determinados colectivos están obligados a relacionarse electrónicamente con las Administraciones, mientras que las personas físicas pueden elegir el canal, con derecho a ser asistidas en el uso de los medios electrónicos.</w:t>
      </w:r>
    </w:p>
    <w:p w14:paraId="16061BE2" w14:textId="77777777" w:rsidR="00534248" w:rsidRPr="00534248" w:rsidRDefault="00534248" w:rsidP="00534248">
      <w:pPr>
        <w:jc w:val="both"/>
      </w:pPr>
      <w:r w:rsidRPr="00534248">
        <w:t>El Servicio de Salud del Principado de Asturias, como ente de derecho público, está plenamente sujeto a este marco. Cada solicitud, cada documento que entra o sale y cada notificación que se practica deben canalizarse a través de instrumentos electrónicos normalizados. El auxiliar administrativo se sitúa en el centro de este proceso: registra los documentos, comprueba la identidad, asiste a los usuarios, digitaliza documentación en papel y custodia el expediente electrónico. Conocer estos instrumentos y su régimen jurídico es, por tanto, una competencia básica del puesto.</w:t>
      </w:r>
    </w:p>
    <w:p w14:paraId="036875DC" w14:textId="77777777" w:rsidR="00534248" w:rsidRPr="00534248" w:rsidRDefault="00534248" w:rsidP="00534248">
      <w:pPr>
        <w:jc w:val="both"/>
      </w:pPr>
      <w:r w:rsidRPr="00534248">
        <w:lastRenderedPageBreak/>
        <w:t>El presente artículo tiene por objeto describir los elementos esenciales de la administración electrónica conforme a la Ley 39/2015 y a su normativa de desarrollo, y delimitar el papel del personal administrativo en su gestión.</w:t>
      </w:r>
    </w:p>
    <w:p w14:paraId="597E3AB5" w14:textId="77777777" w:rsidR="00534248" w:rsidRPr="00534248" w:rsidRDefault="00534248" w:rsidP="00534248">
      <w:pPr>
        <w:jc w:val="both"/>
        <w:rPr>
          <w:b/>
        </w:rPr>
      </w:pPr>
      <w:r w:rsidRPr="00534248">
        <w:rPr>
          <w:b/>
        </w:rPr>
        <w:t>Metodología</w:t>
      </w:r>
    </w:p>
    <w:p w14:paraId="5A9F1E06" w14:textId="77777777" w:rsidR="00534248" w:rsidRPr="00534248" w:rsidRDefault="00534248" w:rsidP="00534248">
      <w:pPr>
        <w:jc w:val="both"/>
      </w:pPr>
      <w:r w:rsidRPr="00534248">
        <w:t>Se ha realizado una revisión normativa y documental de carácter descriptivo, tomando como fuentes principales la Ley 39/2015, de 1 de octubre, y la Ley 40/2015, de 1 de octubre, de Régimen Jurídico del Sector Público, así como el Real Decreto 203/2021, de 30 de marzo, que aprueba el Reglamento de actuación y funcionamiento del sector público por medios electrónicos. Se ha considerado, además, el marco de seguridad e interoperabilidad definido por el Esquema Nacional de Seguridad y el Esquema Nacional de Interoperabilidad. A partir de estas fuentes se han identificado los instrumentos electrónicos básicos y las tareas que en cada uno de ellos corresponden al personal administrativo.</w:t>
      </w:r>
    </w:p>
    <w:p w14:paraId="254FB814" w14:textId="77777777" w:rsidR="00534248" w:rsidRPr="00534248" w:rsidRDefault="00534248" w:rsidP="00534248">
      <w:pPr>
        <w:jc w:val="both"/>
        <w:rPr>
          <w:b/>
        </w:rPr>
      </w:pPr>
      <w:r w:rsidRPr="00534248">
        <w:rPr>
          <w:b/>
        </w:rPr>
        <w:t>Resultados</w:t>
      </w:r>
    </w:p>
    <w:p w14:paraId="7E55A051" w14:textId="77777777" w:rsidR="00534248" w:rsidRPr="00534248" w:rsidRDefault="00534248" w:rsidP="00534248">
      <w:pPr>
        <w:jc w:val="both"/>
      </w:pPr>
      <w:r w:rsidRPr="00534248">
        <w:t>Del análisis se desprende que la administración electrónica se articula en torno a varios instrumentos clave en los que interviene el personal administrativo:</w:t>
      </w:r>
    </w:p>
    <w:p w14:paraId="35F44773" w14:textId="77777777" w:rsidR="00534248" w:rsidRPr="00534248" w:rsidRDefault="00534248" w:rsidP="00534248">
      <w:pPr>
        <w:jc w:val="both"/>
      </w:pPr>
      <w:r w:rsidRPr="00534248">
        <w:t>La sede electrónica, dirección disponible en internet desde la que la ciudadanía accede a la información y a los servicios del organismo, con garantías de titularidad, integridad y veracidad.</w:t>
      </w:r>
    </w:p>
    <w:p w14:paraId="7765E2B6" w14:textId="77777777" w:rsidR="00534248" w:rsidRPr="00534248" w:rsidRDefault="00534248" w:rsidP="00534248">
      <w:pPr>
        <w:jc w:val="both"/>
      </w:pPr>
      <w:r w:rsidRPr="00534248">
        <w:t>El registro electrónico, que recibe y remite documentos, deja constancia de la fecha y hora de presentación y emite el correspondiente recibo. Sustituye al registro presencial y exige una correcta clasificación del documento.</w:t>
      </w:r>
    </w:p>
    <w:p w14:paraId="1AB75B74" w14:textId="77777777" w:rsidR="00534248" w:rsidRPr="00534248" w:rsidRDefault="00534248" w:rsidP="00534248">
      <w:pPr>
        <w:jc w:val="both"/>
      </w:pPr>
      <w:r w:rsidRPr="00534248">
        <w:t xml:space="preserve">La identificación y la firma electrónica, que permiten acreditar la identidad de la persona interesada y la voluntad de los actos, mediante sistemas como el certificado electrónico, la </w:t>
      </w:r>
      <w:proofErr w:type="spellStart"/>
      <w:r w:rsidRPr="00534248">
        <w:t>Cl@ve</w:t>
      </w:r>
      <w:proofErr w:type="spellEnd"/>
      <w:r w:rsidRPr="00534248">
        <w:t xml:space="preserve"> o los sistemas de clave concertada.</w:t>
      </w:r>
    </w:p>
    <w:p w14:paraId="073C2405" w14:textId="77777777" w:rsidR="00534248" w:rsidRPr="00534248" w:rsidRDefault="00534248" w:rsidP="00534248">
      <w:pPr>
        <w:jc w:val="both"/>
      </w:pPr>
      <w:r w:rsidRPr="00534248">
        <w:t>La notificación electrónica, preferente con carácter general, que se entiende practicada cuando la persona accede a su contenido o, transcurridos diez días sin acceso, se considera rechazada.</w:t>
      </w:r>
    </w:p>
    <w:p w14:paraId="293E941B" w14:textId="77777777" w:rsidR="00534248" w:rsidRPr="00534248" w:rsidRDefault="00534248" w:rsidP="00534248">
      <w:pPr>
        <w:jc w:val="both"/>
      </w:pPr>
      <w:r w:rsidRPr="00534248">
        <w:t>El expediente y el archivo electrónico único, que reúnen de forma ordenada los documentos de un procedimiento y garantizan su conservación a largo plazo.</w:t>
      </w:r>
    </w:p>
    <w:p w14:paraId="60C4A3CD" w14:textId="77777777" w:rsidR="00534248" w:rsidRPr="00534248" w:rsidRDefault="00534248" w:rsidP="00534248">
      <w:pPr>
        <w:jc w:val="both"/>
      </w:pPr>
      <w:r w:rsidRPr="00534248">
        <w:t>Un segundo resultado es la función de asistencia. La Ley 39/2015 reconoce el derecho de la ciudadanía a ser asistida en el uso de medios electrónicos, lo que convierte al personal administrativo en un apoyo esencial para quienes presentan dificultades con la tramitación digital, especialmente personas mayores o con brecha digital. En estos casos, el funcionario habilitado puede actuar en nombre del interesado, previo consentimiento expreso.</w:t>
      </w:r>
    </w:p>
    <w:p w14:paraId="72CCE110" w14:textId="77777777" w:rsidR="00534248" w:rsidRPr="00534248" w:rsidRDefault="00534248" w:rsidP="00534248">
      <w:pPr>
        <w:jc w:val="both"/>
      </w:pPr>
      <w:r w:rsidRPr="00534248">
        <w:lastRenderedPageBreak/>
        <w:t>Por último, se constata el papel del personal en la digitalización y copia auténtica de documentos en papel, así como en el cumplimiento de las medidas de seguridad del Esquema Nacional de Seguridad, que protegen la información tratada en estos sistemas.</w:t>
      </w:r>
    </w:p>
    <w:p w14:paraId="38E30ABD" w14:textId="77777777" w:rsidR="00534248" w:rsidRPr="00534248" w:rsidRDefault="00534248" w:rsidP="00534248">
      <w:pPr>
        <w:jc w:val="both"/>
        <w:rPr>
          <w:b/>
        </w:rPr>
      </w:pPr>
      <w:r w:rsidRPr="00534248">
        <w:rPr>
          <w:b/>
        </w:rPr>
        <w:t>Discusión</w:t>
      </w:r>
    </w:p>
    <w:p w14:paraId="791FCC19" w14:textId="77777777" w:rsidR="00534248" w:rsidRPr="00534248" w:rsidRDefault="00534248" w:rsidP="00534248">
      <w:pPr>
        <w:jc w:val="both"/>
      </w:pPr>
      <w:r w:rsidRPr="00534248">
        <w:t>La implantación de la administración electrónica aporta ventajas evidentes: reduce los tiempos de tramitación, elimina desplazamientos, mejora la trazabilidad y facilita el acceso a la información. Sin embargo, plantea también desafíos que el personal administrativo experimenta directamente. El primero es la brecha digital: una parte de la población no dispone de medios o competencias para relacionarse electrónicamente, lo que sitúa la función de asistencia en un primer plano y obliga a combinar el canal digital con una atención humana cercana.</w:t>
      </w:r>
    </w:p>
    <w:p w14:paraId="53E5DA4F" w14:textId="77777777" w:rsidR="00534248" w:rsidRPr="00534248" w:rsidRDefault="00534248" w:rsidP="00534248">
      <w:pPr>
        <w:jc w:val="both"/>
      </w:pPr>
      <w:r w:rsidRPr="00534248">
        <w:t>El segundo desafío es la seguridad de la información. La gestión electrónica implica tratar datos personales —y, en el ámbito sanitario, datos de salud especialmente protegidos— en entornos donde el control de accesos, la firma y la trazabilidad resultan imprescindibles. El cumplimiento del Esquema Nacional de Seguridad no es una cuestión meramente técnica, sino una responsabilidad diaria del personal que opera los sistemas.</w:t>
      </w:r>
    </w:p>
    <w:p w14:paraId="33F4F306" w14:textId="77777777" w:rsidR="00534248" w:rsidRPr="00534248" w:rsidRDefault="00534248" w:rsidP="00534248">
      <w:pPr>
        <w:jc w:val="both"/>
      </w:pPr>
      <w:r w:rsidRPr="00534248">
        <w:t>Finalmente, la transición exige formación continua. Las aplicaciones evolucionan, la normativa se actualiza y la interoperabilidad entre administraciones plantea nuevos escenarios. La capacitación del personal administrativo es, por ello, un factor crítico para que la administración electrónica cumpla su promesa de eficiencia sin menoscabo de las garantías.</w:t>
      </w:r>
    </w:p>
    <w:p w14:paraId="571BFD5A" w14:textId="77777777" w:rsidR="00534248" w:rsidRPr="00534248" w:rsidRDefault="00534248" w:rsidP="00534248">
      <w:pPr>
        <w:jc w:val="both"/>
        <w:rPr>
          <w:b/>
        </w:rPr>
      </w:pPr>
      <w:r w:rsidRPr="00534248">
        <w:rPr>
          <w:b/>
        </w:rPr>
        <w:t>Conclusiones</w:t>
      </w:r>
    </w:p>
    <w:p w14:paraId="67D34D2B" w14:textId="77777777" w:rsidR="00534248" w:rsidRPr="00534248" w:rsidRDefault="00534248" w:rsidP="00534248">
      <w:pPr>
        <w:jc w:val="both"/>
      </w:pPr>
      <w:r w:rsidRPr="00534248">
        <w:t>La Ley 39/2015 ha convertido la administración electrónica en el modo ordinario de actuación del sector público, y el SESPA, como ente de derecho público, opera plenamente bajo este paradigma. Lejos de hacer prescindible al personal administrativo, esta transformación redefine sus funciones en torno al registro electrónico, la asistencia a la ciudadanía, la notificación, la digitalización y la custodia del expediente.</w:t>
      </w:r>
    </w:p>
    <w:p w14:paraId="304464E8" w14:textId="77777777" w:rsidR="00534248" w:rsidRPr="00534248" w:rsidRDefault="00534248" w:rsidP="00534248">
      <w:pPr>
        <w:jc w:val="both"/>
      </w:pPr>
      <w:r w:rsidRPr="00534248">
        <w:t>El dominio de los instrumentos electrónicos, el conocimiento del marco jurídico y de seguridad, y la sensibilidad hacia las personas con dificultades digitales se configuran como competencias esenciales del auxiliar administrativo. La administración electrónica solo alcanza su pleno potencial cuando se sustenta en un personal formado, riguroso y orientado al servicio público.</w:t>
      </w:r>
    </w:p>
    <w:p w14:paraId="4ADFDC8A" w14:textId="77777777" w:rsidR="00534248" w:rsidRPr="00534248" w:rsidRDefault="00534248" w:rsidP="00534248">
      <w:pPr>
        <w:jc w:val="both"/>
        <w:rPr>
          <w:b/>
        </w:rPr>
      </w:pPr>
      <w:r w:rsidRPr="00534248">
        <w:rPr>
          <w:b/>
        </w:rPr>
        <w:t>Bibliografía (APA)</w:t>
      </w:r>
    </w:p>
    <w:p w14:paraId="091C862F" w14:textId="77777777" w:rsidR="00534248" w:rsidRPr="00534248" w:rsidRDefault="00534248" w:rsidP="00534248">
      <w:pPr>
        <w:jc w:val="both"/>
        <w:rPr>
          <w:b/>
        </w:rPr>
      </w:pPr>
      <w:r w:rsidRPr="00534248">
        <w:rPr>
          <w:b/>
        </w:rPr>
        <w:t>Normativa y documentos oficiales</w:t>
      </w:r>
    </w:p>
    <w:p w14:paraId="265469B4" w14:textId="77777777" w:rsidR="00534248" w:rsidRPr="00534248" w:rsidRDefault="00534248" w:rsidP="00534248">
      <w:pPr>
        <w:numPr>
          <w:ilvl w:val="0"/>
          <w:numId w:val="44"/>
        </w:numPr>
        <w:jc w:val="both"/>
      </w:pPr>
      <w:r w:rsidRPr="00534248">
        <w:lastRenderedPageBreak/>
        <w:t xml:space="preserve">Ley 39/2015, de 1 de octubre, del Procedimiento Administrativo Común de las </w:t>
      </w:r>
      <w:proofErr w:type="spellStart"/>
      <w:r w:rsidRPr="00534248">
        <w:t>AdministracionesPúblicas</w:t>
      </w:r>
      <w:proofErr w:type="spellEnd"/>
      <w:r w:rsidRPr="00534248">
        <w:t>. Boletín Oficial del Estado, núm. 236, de 2 de octubre de 2015.</w:t>
      </w:r>
    </w:p>
    <w:p w14:paraId="0F67F3D0" w14:textId="77777777" w:rsidR="00534248" w:rsidRPr="00534248" w:rsidRDefault="00534248" w:rsidP="00534248">
      <w:pPr>
        <w:numPr>
          <w:ilvl w:val="0"/>
          <w:numId w:val="44"/>
        </w:numPr>
        <w:jc w:val="both"/>
      </w:pPr>
      <w:r w:rsidRPr="00534248">
        <w:t xml:space="preserve">Ley 40/2015, de 1 de octubre, de Régimen Jurídico del Sector Público. Boletín Oficial del </w:t>
      </w:r>
      <w:proofErr w:type="spellStart"/>
      <w:proofErr w:type="gramStart"/>
      <w:r w:rsidRPr="00534248">
        <w:t>Estado,núm</w:t>
      </w:r>
      <w:proofErr w:type="spellEnd"/>
      <w:r w:rsidRPr="00534248">
        <w:t>.</w:t>
      </w:r>
      <w:proofErr w:type="gramEnd"/>
      <w:r w:rsidRPr="00534248">
        <w:t xml:space="preserve"> 236, de 2 de octubre de 2015.</w:t>
      </w:r>
    </w:p>
    <w:p w14:paraId="220128BD" w14:textId="77777777" w:rsidR="00534248" w:rsidRPr="00534248" w:rsidRDefault="00534248" w:rsidP="00534248">
      <w:pPr>
        <w:numPr>
          <w:ilvl w:val="0"/>
          <w:numId w:val="44"/>
        </w:numPr>
        <w:jc w:val="both"/>
      </w:pPr>
      <w:r w:rsidRPr="00534248">
        <w:t xml:space="preserve">Real Decreto 203/2021, de 30 de marzo, por el que se aprueba el Reglamento de actuación </w:t>
      </w:r>
      <w:proofErr w:type="spellStart"/>
      <w:r w:rsidRPr="00534248">
        <w:t>yfuncionamiento</w:t>
      </w:r>
      <w:proofErr w:type="spellEnd"/>
      <w:r w:rsidRPr="00534248">
        <w:t xml:space="preserve"> del sector público por medios electrónicos. Boletín Oficial del Estado, núm. 88, de 13 de abril de 2021.</w:t>
      </w:r>
    </w:p>
    <w:p w14:paraId="21849AA7" w14:textId="77777777" w:rsidR="00534248" w:rsidRPr="00534248" w:rsidRDefault="00534248" w:rsidP="00534248">
      <w:pPr>
        <w:numPr>
          <w:ilvl w:val="0"/>
          <w:numId w:val="44"/>
        </w:numPr>
        <w:jc w:val="both"/>
      </w:pPr>
      <w:r w:rsidRPr="00534248">
        <w:t>Real Decreto 311/2022, de 3 de mayo, por el que se regula el Esquema Nacional de Seguridad.</w:t>
      </w:r>
    </w:p>
    <w:p w14:paraId="772DB0C9" w14:textId="77777777" w:rsidR="00534248" w:rsidRPr="00534248" w:rsidRDefault="00534248" w:rsidP="00534248">
      <w:pPr>
        <w:jc w:val="both"/>
      </w:pPr>
      <w:r w:rsidRPr="00534248">
        <w:t>Boletín Oficial del Estado, núm. 106, de 4 de mayo de 2022.</w:t>
      </w:r>
    </w:p>
    <w:p w14:paraId="2EE41119" w14:textId="77777777" w:rsidR="00534248" w:rsidRPr="00534248" w:rsidRDefault="00534248" w:rsidP="00534248">
      <w:pPr>
        <w:jc w:val="both"/>
        <w:rPr>
          <w:b/>
        </w:rPr>
      </w:pPr>
      <w:r w:rsidRPr="00534248">
        <w:rPr>
          <w:b/>
        </w:rPr>
        <w:t>Documentos institucionales</w:t>
      </w:r>
    </w:p>
    <w:p w14:paraId="7E70AC24" w14:textId="77777777" w:rsidR="00534248" w:rsidRPr="00534248" w:rsidRDefault="00534248" w:rsidP="00534248">
      <w:pPr>
        <w:jc w:val="both"/>
      </w:pPr>
      <w:r w:rsidRPr="00534248">
        <w:t>•  Gobierno del Principado de Asturias. (s. f.). Sede electrónica del Principado de Asturias.</w:t>
      </w:r>
    </w:p>
    <w:p w14:paraId="4388ECE5" w14:textId="77777777" w:rsidR="00534248" w:rsidRPr="00534248" w:rsidRDefault="00534248" w:rsidP="00534248">
      <w:pPr>
        <w:jc w:val="both"/>
      </w:pPr>
      <w:r w:rsidRPr="00534248">
        <w:t>https://sede.asturias.es</w:t>
      </w:r>
    </w:p>
    <w:p w14:paraId="11D63D1A" w14:textId="77777777" w:rsidR="0054477F" w:rsidRDefault="0054477F" w:rsidP="00CE24EF">
      <w:pPr>
        <w:jc w:val="both"/>
      </w:pPr>
    </w:p>
    <w:p w14:paraId="432C5FC3" w14:textId="77777777" w:rsidR="00154A74" w:rsidRDefault="00154A74" w:rsidP="00CE24EF">
      <w:pPr>
        <w:jc w:val="both"/>
      </w:pPr>
    </w:p>
    <w:p w14:paraId="63B56B8F" w14:textId="77777777" w:rsidR="009B5FAC" w:rsidRDefault="009B5FAC" w:rsidP="00CE24EF">
      <w:pPr>
        <w:jc w:val="both"/>
      </w:pPr>
    </w:p>
    <w:p w14:paraId="1F86F7CB" w14:textId="77777777" w:rsidR="009B5FAC" w:rsidRDefault="009B5FAC" w:rsidP="00CE24EF">
      <w:pPr>
        <w:jc w:val="both"/>
      </w:pPr>
    </w:p>
    <w:p w14:paraId="10EB7484" w14:textId="77777777" w:rsidR="009B5FAC" w:rsidRDefault="009B5FAC" w:rsidP="00CE24EF">
      <w:pPr>
        <w:jc w:val="both"/>
      </w:pPr>
    </w:p>
    <w:p w14:paraId="7493AF44" w14:textId="77777777" w:rsidR="009B5FAC" w:rsidRDefault="009B5FAC" w:rsidP="00CE24EF">
      <w:pPr>
        <w:jc w:val="both"/>
      </w:pPr>
    </w:p>
    <w:p w14:paraId="00B61D24" w14:textId="77777777" w:rsidR="009B5FAC" w:rsidRDefault="009B5FAC" w:rsidP="00CE24EF">
      <w:pPr>
        <w:jc w:val="both"/>
      </w:pPr>
    </w:p>
    <w:p w14:paraId="466B2D98" w14:textId="77777777" w:rsidR="009B5FAC" w:rsidRDefault="009B5FAC" w:rsidP="00CE24EF">
      <w:pPr>
        <w:jc w:val="both"/>
      </w:pPr>
    </w:p>
    <w:p w14:paraId="3ECA1D2C" w14:textId="77777777" w:rsidR="009B5FAC" w:rsidRDefault="009B5FAC" w:rsidP="00CE24EF">
      <w:pPr>
        <w:jc w:val="both"/>
      </w:pPr>
    </w:p>
    <w:p w14:paraId="7B613F38" w14:textId="77777777" w:rsidR="009B5FAC" w:rsidRDefault="009B5FAC" w:rsidP="00CE24EF">
      <w:pPr>
        <w:jc w:val="both"/>
      </w:pPr>
    </w:p>
    <w:p w14:paraId="473E3E67" w14:textId="77777777" w:rsidR="009B5FAC" w:rsidRDefault="009B5FAC" w:rsidP="00CE24EF">
      <w:pPr>
        <w:jc w:val="both"/>
      </w:pPr>
    </w:p>
    <w:p w14:paraId="4F1F6E65" w14:textId="77777777" w:rsidR="009B5FAC" w:rsidRDefault="009B5FAC" w:rsidP="00CE24EF">
      <w:pPr>
        <w:jc w:val="both"/>
      </w:pPr>
    </w:p>
    <w:p w14:paraId="02A2710E" w14:textId="77777777" w:rsidR="009B5FAC" w:rsidRDefault="009B5FAC" w:rsidP="00CE24EF">
      <w:pPr>
        <w:jc w:val="both"/>
      </w:pPr>
    </w:p>
    <w:p w14:paraId="6FBF5B1D" w14:textId="77777777" w:rsidR="009B5FAC" w:rsidRDefault="009B5FAC" w:rsidP="00CE24EF">
      <w:pPr>
        <w:jc w:val="both"/>
      </w:pPr>
    </w:p>
    <w:p w14:paraId="6A332394" w14:textId="77777777" w:rsidR="009B5FAC" w:rsidRDefault="009B5FAC" w:rsidP="00CE24EF">
      <w:pPr>
        <w:jc w:val="both"/>
      </w:pPr>
    </w:p>
    <w:p w14:paraId="6580FE91" w14:textId="0A40B4F0" w:rsidR="009B5FAC" w:rsidRPr="009B5FAC" w:rsidRDefault="009B5FAC" w:rsidP="009B5FAC">
      <w:pPr>
        <w:jc w:val="both"/>
      </w:pPr>
      <w:r w:rsidRPr="009B5FAC">
        <w:rPr>
          <w:b/>
        </w:rPr>
        <w:lastRenderedPageBreak/>
        <w:t>La tarjeta sanitaria individual y el aseguramiento: tramitación administrativa del derecho a la asistencia sanitaria en el</w:t>
      </w:r>
      <w:r>
        <w:t xml:space="preserve"> </w:t>
      </w:r>
      <w:r w:rsidRPr="009B5FAC">
        <w:rPr>
          <w:b/>
        </w:rPr>
        <w:t>SESPA</w:t>
      </w:r>
    </w:p>
    <w:p w14:paraId="20B2FEEF" w14:textId="77777777" w:rsidR="009B5FAC" w:rsidRPr="009B5FAC" w:rsidRDefault="009B5FAC" w:rsidP="009B5FAC">
      <w:pPr>
        <w:jc w:val="both"/>
        <w:rPr>
          <w:b/>
        </w:rPr>
      </w:pPr>
      <w:r w:rsidRPr="009B5FAC">
        <w:rPr>
          <w:b/>
        </w:rPr>
        <w:t>Resumen</w:t>
      </w:r>
    </w:p>
    <w:p w14:paraId="0DEACCC7" w14:textId="77777777" w:rsidR="009B5FAC" w:rsidRPr="009B5FAC" w:rsidRDefault="009B5FAC" w:rsidP="009B5FAC">
      <w:pPr>
        <w:jc w:val="both"/>
      </w:pPr>
      <w:r w:rsidRPr="009B5FAC">
        <w:t>La tarjeta sanitaria individual (TSI) identifica a cada persona como usuaria del Sistema</w:t>
      </w:r>
    </w:p>
    <w:p w14:paraId="03BE9961" w14:textId="77777777" w:rsidR="009B5FAC" w:rsidRPr="009B5FAC" w:rsidRDefault="009B5FAC" w:rsidP="009B5FAC">
      <w:pPr>
        <w:jc w:val="both"/>
      </w:pPr>
      <w:r w:rsidRPr="009B5FAC">
        <w:t xml:space="preserve">Nacional de Salud y le permite acceder a sus prestaciones. En el Servicio de Salud del Principado de Asturias (SESPA), su tramitación se realiza en los centros de salud de las áreas sanitarias y en los registros auxiliares, y constituye una de las tareas más cotidianas del personal administrativo de admisión. Este artículo analiza el marco del aseguramiento sanitario, describe la función de la TSI y el circuito de su emisión en Asturias —incluida la Carpeta Ciudadana de Salud «Mi </w:t>
      </w:r>
      <w:proofErr w:type="spellStart"/>
      <w:r w:rsidRPr="009B5FAC">
        <w:t>asturSalud</w:t>
      </w:r>
      <w:proofErr w:type="spellEnd"/>
      <w:r w:rsidRPr="009B5FAC">
        <w:t>»— y delimita las tareas del auxiliar administrativo del SESPA. Se concluye que este actúa como puerta de entrada efectiva al sistema sanitario asturiano, con notable trascendencia en términos de equidad y acceso.</w:t>
      </w:r>
    </w:p>
    <w:p w14:paraId="420EE2B9" w14:textId="77777777" w:rsidR="009B5FAC" w:rsidRPr="009B5FAC" w:rsidRDefault="009B5FAC" w:rsidP="009B5FAC">
      <w:pPr>
        <w:jc w:val="both"/>
        <w:rPr>
          <w:b/>
        </w:rPr>
      </w:pPr>
      <w:r w:rsidRPr="009B5FAC">
        <w:rPr>
          <w:b/>
        </w:rPr>
        <w:t>Palabras clave</w:t>
      </w:r>
    </w:p>
    <w:p w14:paraId="501CADCB" w14:textId="77777777" w:rsidR="009B5FAC" w:rsidRPr="009B5FAC" w:rsidRDefault="009B5FAC" w:rsidP="009B5FAC">
      <w:pPr>
        <w:jc w:val="both"/>
      </w:pPr>
      <w:r w:rsidRPr="009B5FAC">
        <w:t xml:space="preserve">Tarjeta sanitaria, aseguramiento, acceso universal, SESPA, Mi </w:t>
      </w:r>
      <w:proofErr w:type="spellStart"/>
      <w:r w:rsidRPr="009B5FAC">
        <w:t>asturSalud</w:t>
      </w:r>
      <w:proofErr w:type="spellEnd"/>
      <w:r w:rsidRPr="009B5FAC">
        <w:t>, auxiliar administrativo.</w:t>
      </w:r>
    </w:p>
    <w:p w14:paraId="774435BC" w14:textId="77777777" w:rsidR="009B5FAC" w:rsidRPr="009B5FAC" w:rsidRDefault="009B5FAC" w:rsidP="009B5FAC">
      <w:pPr>
        <w:jc w:val="both"/>
        <w:rPr>
          <w:b/>
        </w:rPr>
      </w:pPr>
      <w:r w:rsidRPr="009B5FAC">
        <w:rPr>
          <w:b/>
        </w:rPr>
        <w:t>Introducción</w:t>
      </w:r>
    </w:p>
    <w:p w14:paraId="0ECE6A35" w14:textId="77777777" w:rsidR="009B5FAC" w:rsidRPr="009B5FAC" w:rsidRDefault="009B5FAC" w:rsidP="009B5FAC">
      <w:pPr>
        <w:jc w:val="both"/>
      </w:pPr>
      <w:r w:rsidRPr="009B5FAC">
        <w:t>El derecho a la protección de la salud, reconocido en el artículo 43 de la Constitución, se materializa en el acceso a la asistencia sanitaria pública. Para ejercerlo, la persona debe tener reconocida la condición que le da acceso al Sistema Nacional de Salud y disponer de una tarjeta sanitaria individual.</w:t>
      </w:r>
    </w:p>
    <w:p w14:paraId="1FCD1EF0" w14:textId="77777777" w:rsidR="009B5FAC" w:rsidRPr="009B5FAC" w:rsidRDefault="009B5FAC" w:rsidP="009B5FAC">
      <w:pPr>
        <w:jc w:val="both"/>
      </w:pPr>
      <w:r w:rsidRPr="009B5FAC">
        <w:t>El marco del aseguramiento ha sido objeto de sucesivas reformas. El Real Decreto-ley 16/2012 restringió el acceso de determinados colectivos; el Real Decreto-ley 7/2018 recuperó un modelo de acceso universal basado en la residencia; y, más recientemente, la modificación de la Ley 16/2003 por la Ley 3/2024 y el Real Decreto 180/2026 han reforzado la universalidad, regulando el reconocimiento del derecho de las personas extranjeras sin residencia legal y previendo un código de identificación personal común para todo el sistema.</w:t>
      </w:r>
    </w:p>
    <w:p w14:paraId="1B28B30F" w14:textId="77777777" w:rsidR="009B5FAC" w:rsidRPr="009B5FAC" w:rsidRDefault="009B5FAC" w:rsidP="009B5FAC">
      <w:pPr>
        <w:jc w:val="both"/>
      </w:pPr>
      <w:r w:rsidRPr="009B5FAC">
        <w:t xml:space="preserve">En Asturias, este derecho se gestiona en el SESPA. La TSI se solicita en el centro de salud que corresponde al domicilio según el Mapa Sanitario del Principado de Asturias, y para obtenerla se exige residir habitualmente en un concejo asturiano y tener reconocida la condición de asegurado o beneficiario por el Instituto Nacional de la Seguridad Social (INSS), incluidos los mutualistas del Estado —MUFACE, MUGEJU e ISFAS— que hayan optado por la asistencia a través del Sistema Nacional de Salud. En este escenario, el personal administrativo asume la tramitación cotidiana del derecho: comprueba los requisitos, da de alta a la </w:t>
      </w:r>
      <w:r w:rsidRPr="009B5FAC">
        <w:lastRenderedPageBreak/>
        <w:t>persona en la base de datos de población protegida del SESPA y gestiona la emisión de la tarjeta. Este artículo describe ese procedimiento y su evolución normativa.</w:t>
      </w:r>
    </w:p>
    <w:p w14:paraId="036A0013" w14:textId="77777777" w:rsidR="009B5FAC" w:rsidRPr="009B5FAC" w:rsidRDefault="009B5FAC" w:rsidP="009B5FAC">
      <w:pPr>
        <w:jc w:val="both"/>
        <w:rPr>
          <w:b/>
        </w:rPr>
      </w:pPr>
      <w:r w:rsidRPr="009B5FAC">
        <w:rPr>
          <w:b/>
        </w:rPr>
        <w:t>Metodología</w:t>
      </w:r>
    </w:p>
    <w:p w14:paraId="1491802B" w14:textId="77777777" w:rsidR="009B5FAC" w:rsidRPr="009B5FAC" w:rsidRDefault="009B5FAC" w:rsidP="009B5FAC">
      <w:pPr>
        <w:jc w:val="both"/>
      </w:pPr>
      <w:r w:rsidRPr="009B5FAC">
        <w:t>Se ha llevado a cabo una revisión normativa y documental de carácter descriptivo. Como fuentes principales se han empleado la Ley 16/2003, de 28 de mayo, de cohesión y calidad del Sistema Nacional de Salud, en su redacción vigente tras la Ley 3/2024; el Real Decreto-ley</w:t>
      </w:r>
    </w:p>
    <w:p w14:paraId="2CEEABFE" w14:textId="77777777" w:rsidR="009B5FAC" w:rsidRPr="009B5FAC" w:rsidRDefault="009B5FAC" w:rsidP="009B5FAC">
      <w:pPr>
        <w:jc w:val="both"/>
      </w:pPr>
      <w:r w:rsidRPr="009B5FAC">
        <w:t>7/2018, de 27 de julio, sobre el acceso universal al Sistema Nacional de Salud; el Real Decreto 1192/2012, que regula la condición de asegurado y beneficiario; y el Real Decreto 180/2026. Se ha considerado, asimismo, la información oficial del SESPA sobre la obtención y gestión de la tarjeta sanitaria en Asturias, a partir de la cual se ha reconstruido el circuito administrativo.</w:t>
      </w:r>
    </w:p>
    <w:p w14:paraId="5B48F5DB" w14:textId="77777777" w:rsidR="009B5FAC" w:rsidRPr="009B5FAC" w:rsidRDefault="009B5FAC" w:rsidP="009B5FAC">
      <w:pPr>
        <w:jc w:val="both"/>
        <w:rPr>
          <w:b/>
        </w:rPr>
      </w:pPr>
      <w:r w:rsidRPr="009B5FAC">
        <w:rPr>
          <w:b/>
        </w:rPr>
        <w:t>Resultados</w:t>
      </w:r>
    </w:p>
    <w:p w14:paraId="190CB072" w14:textId="77777777" w:rsidR="009B5FAC" w:rsidRPr="009B5FAC" w:rsidRDefault="009B5FAC" w:rsidP="009B5FAC">
      <w:pPr>
        <w:jc w:val="both"/>
      </w:pPr>
      <w:r w:rsidRPr="009B5FAC">
        <w:t>El primer resultado es la delimitación del derecho de acceso. Tras la reforma de 2018 y su consolidación posterior, el derecho a la asistencia con cargo a fondos públicos se vincula principalmente a la residencia en España, superándose el modelo estrictamente contributivo. El Real Decreto 180/2026 ha regulado, además, un procedimiento homogéneo para reconocer este derecho a las personas extranjeras sin residencia legal y ha previsto un código de identificación personal del Sistema Nacional de Salud único y común.</w:t>
      </w:r>
    </w:p>
    <w:p w14:paraId="16D9CFBF" w14:textId="77777777" w:rsidR="009B5FAC" w:rsidRPr="009B5FAC" w:rsidRDefault="009B5FAC" w:rsidP="009B5FAC">
      <w:pPr>
        <w:jc w:val="both"/>
      </w:pPr>
      <w:r w:rsidRPr="009B5FAC">
        <w:t>El segundo resultado es la función de la TSI en Asturias. Identifica a la persona mediante su código de identificación personal (CIP), permite el acceso a las prestaciones —incluida la farmacéutica— y su validez está acreditada en los sistemas de información del SESPA y del Sistema Nacional de Salud. Las tarjetas emitidas desde 2012 no caducan y ya no muestran datos sobre la condición de pensionista ni el tipo de aportación farmacéutica; solo se reemiten en caso de modificación de datos, extravío o deterioro. Una vez fabricada, la tarjeta se envía por correo ordinario al domicilio, con posibilidad de recogida en el centro de salud, y entretanto puede entregarse una tarjeta provisional.</w:t>
      </w:r>
    </w:p>
    <w:p w14:paraId="3D038D0E" w14:textId="77777777" w:rsidR="009B5FAC" w:rsidRPr="009B5FAC" w:rsidRDefault="009B5FAC" w:rsidP="009B5FAC">
      <w:pPr>
        <w:jc w:val="both"/>
      </w:pPr>
      <w:r w:rsidRPr="009B5FAC">
        <w:t xml:space="preserve">El tercer resultado se refiere a las tareas administrativas y a la digitalización del trámite. El personal del SESPA comprueba el derecho a la asistencia, da de alta y baja en la base de datos de población protegida, emite y reemite la tarjeta, gestiona a las personas desplazadas temporalmente y mantiene actualizados los datos de identificación. A ello se suma la Carpeta Ciudadana de Salud «Mi </w:t>
      </w:r>
      <w:proofErr w:type="spellStart"/>
      <w:r w:rsidRPr="009B5FAC">
        <w:t>asturSalud</w:t>
      </w:r>
      <w:proofErr w:type="spellEnd"/>
      <w:r w:rsidRPr="009B5FAC">
        <w:t xml:space="preserve">», que incorpora la tarjeta sanitaria virtual y permite realizar trámites en línea —como la solicitud de tarjeta por extravío, deterioro o no recepción— mediante certificado, DNI electrónico o </w:t>
      </w:r>
      <w:proofErr w:type="spellStart"/>
      <w:r w:rsidRPr="009B5FAC">
        <w:t>Cl@ve</w:t>
      </w:r>
      <w:proofErr w:type="spellEnd"/>
      <w:r w:rsidRPr="009B5FAC">
        <w:t>, lo que redefine parte del trabajo de admisión.</w:t>
      </w:r>
    </w:p>
    <w:p w14:paraId="4C47348B" w14:textId="77777777" w:rsidR="009B5FAC" w:rsidRPr="009B5FAC" w:rsidRDefault="009B5FAC" w:rsidP="009B5FAC">
      <w:pPr>
        <w:jc w:val="both"/>
        <w:rPr>
          <w:b/>
        </w:rPr>
      </w:pPr>
      <w:r w:rsidRPr="009B5FAC">
        <w:rPr>
          <w:b/>
        </w:rPr>
        <w:lastRenderedPageBreak/>
        <w:t>Discusión</w:t>
      </w:r>
    </w:p>
    <w:p w14:paraId="62B785E5" w14:textId="77777777" w:rsidR="009B5FAC" w:rsidRPr="009B5FAC" w:rsidRDefault="009B5FAC" w:rsidP="009B5FAC">
      <w:pPr>
        <w:jc w:val="both"/>
      </w:pPr>
      <w:r w:rsidRPr="009B5FAC">
        <w:t>La evolución normativa hacia la universalidad sitúa al personal administrativo del SESPA ante un papel de creciente responsabilidad. La comprobación y el reconocimiento del derecho dejan de ser un trámite mecánico para convertirse en la garantía última del acceso: un error o una demora en la tramitación pueden impedir que una persona reciba asistencia o medicación. La sensibilidad ante situaciones de vulnerabilidad y el conocimiento actualizado de la normativa resultan esenciales, especialmente al aplicar el nuevo procedimiento del Real Decreto 180/2026.</w:t>
      </w:r>
    </w:p>
    <w:p w14:paraId="35989462" w14:textId="77777777" w:rsidR="009B5FAC" w:rsidRPr="009B5FAC" w:rsidRDefault="009B5FAC" w:rsidP="009B5FAC">
      <w:pPr>
        <w:jc w:val="both"/>
      </w:pPr>
      <w:r w:rsidRPr="009B5FAC">
        <w:t>Un segundo aspecto es la protección de datos. La tarjeta y las bases de datos de población del SESPA contienen datos personales que deben tratarse con estricta confidencialidad conforme al Reglamento General de Protección de Datos; el acceso se justifica únicamente por la necesidad de la gestión. Conviene además que el personal sepa advertir a la ciudadanía sobre intentos de fraude relacionados con la supuesta renovación de la tarjeta, dado que esta no caduca.</w:t>
      </w:r>
    </w:p>
    <w:p w14:paraId="3981468C" w14:textId="77777777" w:rsidR="009B5FAC" w:rsidRPr="009B5FAC" w:rsidRDefault="009B5FAC" w:rsidP="009B5FAC">
      <w:pPr>
        <w:jc w:val="both"/>
      </w:pPr>
      <w:r w:rsidRPr="009B5FAC">
        <w:t>Finalmente, la interoperabilidad permite que una persona con TSI del SESPA sea atendida en otra comunidad autónoma y acceda a la Historia Clínica Digital del Sistema Nacional de Salud. La coexistencia de distintos regímenes —general, mutualismo administrativo, convenios internacionales— genera situaciones que el personal debe identificar y resolver, derivando cuando proceda a las unidades competentes.</w:t>
      </w:r>
    </w:p>
    <w:p w14:paraId="2F7C459F" w14:textId="77777777" w:rsidR="009B5FAC" w:rsidRPr="009B5FAC" w:rsidRDefault="009B5FAC" w:rsidP="009B5FAC">
      <w:pPr>
        <w:jc w:val="both"/>
        <w:rPr>
          <w:b/>
        </w:rPr>
      </w:pPr>
      <w:r w:rsidRPr="009B5FAC">
        <w:rPr>
          <w:b/>
        </w:rPr>
        <w:t>Conclusiones</w:t>
      </w:r>
    </w:p>
    <w:p w14:paraId="4D87B9A8" w14:textId="77777777" w:rsidR="009B5FAC" w:rsidRPr="009B5FAC" w:rsidRDefault="009B5FAC" w:rsidP="009B5FAC">
      <w:pPr>
        <w:jc w:val="both"/>
      </w:pPr>
      <w:r w:rsidRPr="009B5FAC">
        <w:t xml:space="preserve">La tarjeta sanitaria individual es mucho más que un documento: es la expresión tangible del derecho a la asistencia sanitaria. En Asturias, su tramitación se apoya en la red de centros de salud y registros del SESPA y, cada vez más, en la Carpeta Ciudadana de Salud «Mi </w:t>
      </w:r>
      <w:proofErr w:type="spellStart"/>
      <w:r w:rsidRPr="009B5FAC">
        <w:t>asturSalud</w:t>
      </w:r>
      <w:proofErr w:type="spellEnd"/>
      <w:r w:rsidRPr="009B5FAC">
        <w:t>», en un contexto normativo que avanza hacia la universalidad con la Ley 3/2024 y el Real Decreto 180/2026.</w:t>
      </w:r>
    </w:p>
    <w:p w14:paraId="6AEA3426" w14:textId="77777777" w:rsidR="009B5FAC" w:rsidRPr="009B5FAC" w:rsidRDefault="009B5FAC" w:rsidP="009B5FAC">
      <w:pPr>
        <w:jc w:val="both"/>
      </w:pPr>
      <w:r w:rsidRPr="009B5FAC">
        <w:t>En este marco, el auxiliar administrativo del SESPA actúa como auténtica puerta de entrada al sistema sanitario asturiano. El conocimiento de la normativa, el rigor en la comprobación del derecho y el respeto a la confidencialidad convierten su labor en un factor decisivo para garantizar un acceso equitativo y efectivo.</w:t>
      </w:r>
    </w:p>
    <w:p w14:paraId="35DF9901" w14:textId="77777777" w:rsidR="009B5FAC" w:rsidRPr="009B5FAC" w:rsidRDefault="009B5FAC" w:rsidP="009B5FAC">
      <w:pPr>
        <w:jc w:val="both"/>
        <w:rPr>
          <w:b/>
        </w:rPr>
      </w:pPr>
      <w:r w:rsidRPr="009B5FAC">
        <w:rPr>
          <w:b/>
        </w:rPr>
        <w:t>Bibliografía (APA)</w:t>
      </w:r>
    </w:p>
    <w:p w14:paraId="5DFD974C" w14:textId="77777777" w:rsidR="009B5FAC" w:rsidRPr="009B5FAC" w:rsidRDefault="009B5FAC" w:rsidP="009B5FAC">
      <w:pPr>
        <w:jc w:val="both"/>
        <w:rPr>
          <w:b/>
        </w:rPr>
      </w:pPr>
      <w:r w:rsidRPr="009B5FAC">
        <w:rPr>
          <w:b/>
        </w:rPr>
        <w:t>Normativa y documentos oficiales</w:t>
      </w:r>
    </w:p>
    <w:p w14:paraId="64A239F0" w14:textId="77777777" w:rsidR="009B5FAC" w:rsidRPr="009B5FAC" w:rsidRDefault="009B5FAC" w:rsidP="009B5FAC">
      <w:pPr>
        <w:numPr>
          <w:ilvl w:val="0"/>
          <w:numId w:val="45"/>
        </w:numPr>
        <w:jc w:val="both"/>
      </w:pPr>
      <w:r w:rsidRPr="009B5FAC">
        <w:t xml:space="preserve">Ley 16/2003, de 28 de mayo, de cohesión y calidad del Sistema Nacional de Salud (modificada por </w:t>
      </w:r>
      <w:proofErr w:type="spellStart"/>
      <w:r w:rsidRPr="009B5FAC">
        <w:t>laLey</w:t>
      </w:r>
      <w:proofErr w:type="spellEnd"/>
      <w:r w:rsidRPr="009B5FAC">
        <w:t xml:space="preserve"> 3/2024, de 30 de octubre). Boletín Oficial del Estado, núm. 128, de 29 de mayo de 2003.</w:t>
      </w:r>
    </w:p>
    <w:p w14:paraId="3E95ABA4" w14:textId="77777777" w:rsidR="009B5FAC" w:rsidRPr="009B5FAC" w:rsidRDefault="009B5FAC" w:rsidP="009B5FAC">
      <w:pPr>
        <w:numPr>
          <w:ilvl w:val="0"/>
          <w:numId w:val="45"/>
        </w:numPr>
        <w:jc w:val="both"/>
      </w:pPr>
      <w:r w:rsidRPr="009B5FAC">
        <w:lastRenderedPageBreak/>
        <w:t>Real Decreto-ley 7/2018, de 27 de julio, sobre el acceso universal al Sistema Nacional de Salud.</w:t>
      </w:r>
    </w:p>
    <w:p w14:paraId="0EE68B4C" w14:textId="77777777" w:rsidR="009B5FAC" w:rsidRPr="009B5FAC" w:rsidRDefault="009B5FAC" w:rsidP="009B5FAC">
      <w:pPr>
        <w:jc w:val="both"/>
      </w:pPr>
      <w:r w:rsidRPr="009B5FAC">
        <w:t>Boletín Oficial del Estado, núm. 183, de 30 de julio de 2018.</w:t>
      </w:r>
    </w:p>
    <w:p w14:paraId="3D7A987C" w14:textId="77777777" w:rsidR="009B5FAC" w:rsidRPr="009B5FAC" w:rsidRDefault="009B5FAC" w:rsidP="009B5FAC">
      <w:pPr>
        <w:numPr>
          <w:ilvl w:val="0"/>
          <w:numId w:val="45"/>
        </w:numPr>
        <w:jc w:val="both"/>
      </w:pPr>
      <w:r w:rsidRPr="009B5FAC">
        <w:t xml:space="preserve">Real Decreto 1192/2012, de 3 de agosto, por el que se regula la condición de asegurado y </w:t>
      </w:r>
      <w:proofErr w:type="spellStart"/>
      <w:r w:rsidRPr="009B5FAC">
        <w:t>debeneficiario</w:t>
      </w:r>
      <w:proofErr w:type="spellEnd"/>
      <w:r w:rsidRPr="009B5FAC">
        <w:t xml:space="preserve"> a efectos de la asistencia sanitaria en España, con cargo a fondos públicos, a través del Sistema Nacional de Salud. Boletín Oficial del Estado, núm. 186, de 4 de agosto de 2012.</w:t>
      </w:r>
    </w:p>
    <w:p w14:paraId="23389787" w14:textId="77777777" w:rsidR="009B5FAC" w:rsidRPr="009B5FAC" w:rsidRDefault="009B5FAC" w:rsidP="009B5FAC">
      <w:pPr>
        <w:numPr>
          <w:ilvl w:val="0"/>
          <w:numId w:val="45"/>
        </w:numPr>
        <w:jc w:val="both"/>
      </w:pPr>
      <w:r w:rsidRPr="009B5FAC">
        <w:t xml:space="preserve">Real Decreto 180/2026, de 11 de marzo, por el que se regula el reconocimiento del derecho a </w:t>
      </w:r>
      <w:proofErr w:type="spellStart"/>
      <w:r w:rsidRPr="009B5FAC">
        <w:t>laprotección</w:t>
      </w:r>
      <w:proofErr w:type="spellEnd"/>
      <w:r w:rsidRPr="009B5FAC">
        <w:t xml:space="preserve"> de la salud y a la atención sanitaria con cargo a fondos públicos de las personas extranjeras que encontrándose en España no tengan su residencia legal en el territorio español.</w:t>
      </w:r>
    </w:p>
    <w:p w14:paraId="4D19DEA6" w14:textId="77777777" w:rsidR="009B5FAC" w:rsidRPr="009B5FAC" w:rsidRDefault="009B5FAC" w:rsidP="009B5FAC">
      <w:pPr>
        <w:jc w:val="both"/>
      </w:pPr>
      <w:r w:rsidRPr="009B5FAC">
        <w:t>Boletín Oficial del Estado, de 12 de marzo de 2026.</w:t>
      </w:r>
    </w:p>
    <w:p w14:paraId="747F6084" w14:textId="77777777" w:rsidR="009B5FAC" w:rsidRPr="009B5FAC" w:rsidRDefault="009B5FAC" w:rsidP="009B5FAC">
      <w:pPr>
        <w:jc w:val="both"/>
        <w:rPr>
          <w:b/>
        </w:rPr>
      </w:pPr>
      <w:r w:rsidRPr="009B5FAC">
        <w:rPr>
          <w:b/>
        </w:rPr>
        <w:t>Documentos institucionales</w:t>
      </w:r>
    </w:p>
    <w:p w14:paraId="55A69C77" w14:textId="77777777" w:rsidR="009B5FAC" w:rsidRPr="009B5FAC" w:rsidRDefault="009B5FAC" w:rsidP="009B5FAC">
      <w:pPr>
        <w:jc w:val="both"/>
      </w:pPr>
      <w:r w:rsidRPr="009B5FAC">
        <w:t>•  Servicio de Salud del Principado de Asturias (SESPA). (s. f.). Obtención de la Tarjeta Sanitaria</w:t>
      </w:r>
    </w:p>
    <w:p w14:paraId="73CD6C73" w14:textId="77777777" w:rsidR="009B5FAC" w:rsidRPr="009B5FAC" w:rsidRDefault="009B5FAC" w:rsidP="009B5FAC">
      <w:pPr>
        <w:jc w:val="both"/>
      </w:pPr>
      <w:r w:rsidRPr="009B5FAC">
        <w:t xml:space="preserve">Individual. </w:t>
      </w:r>
      <w:proofErr w:type="spellStart"/>
      <w:r w:rsidRPr="009B5FAC">
        <w:t>Astursalud</w:t>
      </w:r>
      <w:proofErr w:type="spellEnd"/>
      <w:r w:rsidRPr="009B5FAC">
        <w:t>. https://www.astursalud.es</w:t>
      </w:r>
    </w:p>
    <w:p w14:paraId="6F3A748C" w14:textId="77777777" w:rsidR="009B5FAC" w:rsidRDefault="009B5FAC" w:rsidP="00CE24EF">
      <w:pPr>
        <w:jc w:val="both"/>
      </w:pPr>
    </w:p>
    <w:p w14:paraId="15DEE71D" w14:textId="77777777" w:rsidR="00F25424" w:rsidRDefault="00F25424" w:rsidP="00CE24EF">
      <w:pPr>
        <w:jc w:val="both"/>
      </w:pPr>
    </w:p>
    <w:p w14:paraId="0CEB6765" w14:textId="77777777" w:rsidR="00F25424" w:rsidRDefault="00F25424" w:rsidP="00CE24EF">
      <w:pPr>
        <w:jc w:val="both"/>
      </w:pPr>
    </w:p>
    <w:p w14:paraId="60B2EAB2" w14:textId="77777777" w:rsidR="00F25424" w:rsidRDefault="00F25424" w:rsidP="00CE24EF">
      <w:pPr>
        <w:jc w:val="both"/>
      </w:pPr>
    </w:p>
    <w:p w14:paraId="6FE36B4D" w14:textId="77777777" w:rsidR="00F25424" w:rsidRDefault="00F25424" w:rsidP="00CE24EF">
      <w:pPr>
        <w:jc w:val="both"/>
      </w:pPr>
    </w:p>
    <w:p w14:paraId="28058357" w14:textId="77777777" w:rsidR="00F25424" w:rsidRDefault="00F25424" w:rsidP="00CE24EF">
      <w:pPr>
        <w:jc w:val="both"/>
      </w:pPr>
    </w:p>
    <w:p w14:paraId="048A83E1" w14:textId="77777777" w:rsidR="00F25424" w:rsidRDefault="00F25424" w:rsidP="00CE24EF">
      <w:pPr>
        <w:jc w:val="both"/>
      </w:pPr>
    </w:p>
    <w:p w14:paraId="705FBD3C" w14:textId="77777777" w:rsidR="00F25424" w:rsidRDefault="00F25424" w:rsidP="00CE24EF">
      <w:pPr>
        <w:jc w:val="both"/>
      </w:pPr>
    </w:p>
    <w:p w14:paraId="20955238" w14:textId="77777777" w:rsidR="00F25424" w:rsidRDefault="00F25424" w:rsidP="00CE24EF">
      <w:pPr>
        <w:jc w:val="both"/>
      </w:pPr>
    </w:p>
    <w:p w14:paraId="1409E6D6" w14:textId="77777777" w:rsidR="00F25424" w:rsidRDefault="00F25424" w:rsidP="00CE24EF">
      <w:pPr>
        <w:jc w:val="both"/>
      </w:pPr>
    </w:p>
    <w:p w14:paraId="437B04E8" w14:textId="77777777" w:rsidR="00F25424" w:rsidRDefault="00F25424" w:rsidP="00CE24EF">
      <w:pPr>
        <w:jc w:val="both"/>
      </w:pPr>
    </w:p>
    <w:p w14:paraId="53B87F53" w14:textId="77777777" w:rsidR="00F25424" w:rsidRDefault="00F25424" w:rsidP="00CE24EF">
      <w:pPr>
        <w:jc w:val="both"/>
      </w:pPr>
    </w:p>
    <w:p w14:paraId="682D2E8E" w14:textId="77777777" w:rsidR="00F25424" w:rsidRDefault="00F25424" w:rsidP="00CE24EF">
      <w:pPr>
        <w:jc w:val="both"/>
      </w:pPr>
    </w:p>
    <w:p w14:paraId="010614B2" w14:textId="77777777" w:rsidR="00F25424" w:rsidRDefault="00F25424" w:rsidP="00CE24EF">
      <w:pPr>
        <w:jc w:val="both"/>
      </w:pPr>
    </w:p>
    <w:p w14:paraId="057D7E06" w14:textId="77777777" w:rsidR="00F25424" w:rsidRDefault="00F25424" w:rsidP="00CE24EF">
      <w:pPr>
        <w:jc w:val="both"/>
      </w:pPr>
    </w:p>
    <w:p w14:paraId="7E58FB37" w14:textId="1D35C5D8" w:rsidR="00F25424" w:rsidRPr="00F25424" w:rsidRDefault="00F25424" w:rsidP="00F25424">
      <w:pPr>
        <w:jc w:val="both"/>
      </w:pPr>
      <w:r w:rsidRPr="00F25424">
        <w:rPr>
          <w:b/>
        </w:rPr>
        <w:lastRenderedPageBreak/>
        <w:t>Tramitación administrativa de la incapacidad temporal: gestión de los partes de baja, confirmación y alta en el</w:t>
      </w:r>
      <w:r>
        <w:t xml:space="preserve"> </w:t>
      </w:r>
      <w:r w:rsidRPr="00F25424">
        <w:rPr>
          <w:b/>
        </w:rPr>
        <w:t>SESPA</w:t>
      </w:r>
    </w:p>
    <w:p w14:paraId="36AA5967" w14:textId="77777777" w:rsidR="00F25424" w:rsidRPr="00F25424" w:rsidRDefault="00F25424" w:rsidP="00F25424">
      <w:pPr>
        <w:jc w:val="both"/>
        <w:rPr>
          <w:b/>
        </w:rPr>
      </w:pPr>
      <w:r w:rsidRPr="00F25424">
        <w:rPr>
          <w:b/>
        </w:rPr>
        <w:t>Resumen</w:t>
      </w:r>
    </w:p>
    <w:p w14:paraId="403497F7" w14:textId="77777777" w:rsidR="00F25424" w:rsidRPr="00F25424" w:rsidRDefault="00F25424" w:rsidP="00F25424">
      <w:pPr>
        <w:jc w:val="both"/>
      </w:pPr>
      <w:r w:rsidRPr="00F25424">
        <w:t>La incapacidad temporal (IT) es uno de los procedimientos con mayor carga burocrática en los centros del Servicio de Salud del Principado de Asturias (SESPA). Aunque corresponde al personal médico establecer la baja inicial, indicar las revisiones periódicas necesarias y programar la emisión de los partes de confirmación, la tramitación, grabación, comunicación telemática, control de plazos y archivo de los partes recae en buena medida sobre el personal administrativo de las áreas sanitarias asturianas. Este artículo describe el circuito administrativo de la IT, analiza el marco normativo vigente (con especial atención a la reforma introducida por el Real Decreto 1060/2022) y examina el papel del auxiliar administrativo del SESPA en la gestión de los partes de baja, confirmación y alta. Se concluye que la digitalización ha simplificado las obligaciones del trabajador, pero ha desplazado la responsabilidad hacia una comunicación telemática rigurosa entre administraciones, en la que el personal administrativo resulta determinante.</w:t>
      </w:r>
    </w:p>
    <w:p w14:paraId="3CB6A683" w14:textId="77777777" w:rsidR="00F25424" w:rsidRPr="00F25424" w:rsidRDefault="00F25424" w:rsidP="00F25424">
      <w:pPr>
        <w:jc w:val="both"/>
        <w:rPr>
          <w:b/>
        </w:rPr>
      </w:pPr>
      <w:r w:rsidRPr="00F25424">
        <w:rPr>
          <w:b/>
        </w:rPr>
        <w:t>Palabras clave</w:t>
      </w:r>
    </w:p>
    <w:p w14:paraId="461EC9E1" w14:textId="77777777" w:rsidR="00F25424" w:rsidRPr="00F25424" w:rsidRDefault="00F25424" w:rsidP="00F25424">
      <w:pPr>
        <w:jc w:val="both"/>
      </w:pPr>
      <w:r w:rsidRPr="00F25424">
        <w:t>Incapacidad temporal, parte de baja, tramitación administrativa, gestión telemática, SESPA, auxiliar administrativo.</w:t>
      </w:r>
    </w:p>
    <w:p w14:paraId="263391DC" w14:textId="77777777" w:rsidR="00F25424" w:rsidRPr="00F25424" w:rsidRDefault="00F25424" w:rsidP="00F25424">
      <w:pPr>
        <w:jc w:val="both"/>
        <w:rPr>
          <w:b/>
        </w:rPr>
      </w:pPr>
      <w:r w:rsidRPr="00F25424">
        <w:rPr>
          <w:b/>
        </w:rPr>
        <w:t>Introducción</w:t>
      </w:r>
    </w:p>
    <w:p w14:paraId="236F6596" w14:textId="77777777" w:rsidR="00F25424" w:rsidRPr="00F25424" w:rsidRDefault="00F25424" w:rsidP="00F25424">
      <w:pPr>
        <w:jc w:val="both"/>
      </w:pPr>
      <w:r w:rsidRPr="00F25424">
        <w:t xml:space="preserve">La incapacidad temporal es la situación en la que se encuentra la persona trabajadora que, por enfermedad común o profesional, o por accidente, está impedida temporalmente para trabajar y precisa asistencia sanitaria de la Seguridad Social. Su gestión articula la relación entre el SESPA, el Instituto Nacional de la Seguridad Social (INSS), las mutuas y la empresa, mediante un procedimiento documental con efectos jurídicos y económicos directos. Esa gestión se desarrolla en los centros de atención primaria de las áreas sanitarias en que se organiza territorialmente el SESPA. El auxiliar administrativo es, con frecuencia, quien recibe al usuario en el mostrador de admisión y, a través de la Estación Clínica de Atención Primaria (ECAP), gestiona la cita de revisión, emite y entrega los partes de confirmación (según la programación del personal médico y previa identificación del usuario/a), graba los datos del parte y controla los plazos de confirmación, gestionando las posibles incidencias relacionadas con la falta de su recogida e informando al facultativo para su valoración. Una tramitación incorrecta puede derivar en la suspensión del pago de la prestación o en reclamaciones ante el Servicio de Atención al Ciudadano (SAC). Por ello, conocer </w:t>
      </w:r>
      <w:r w:rsidRPr="00F25424">
        <w:lastRenderedPageBreak/>
        <w:t>el circuito administrativo de la IT es una competencia esencial del perfil en el ámbito sanitario asturiano.</w:t>
      </w:r>
    </w:p>
    <w:p w14:paraId="0398FBF8" w14:textId="77777777" w:rsidR="00F25424" w:rsidRPr="00F25424" w:rsidRDefault="00F25424" w:rsidP="00F25424">
      <w:pPr>
        <w:jc w:val="both"/>
      </w:pPr>
      <w:r w:rsidRPr="00F25424">
        <w:t>Este trabajo describe dicho circuito, lo sitúa en el marco normativo actualizado tras la reforma de 2023 y delimita las funciones del personal administrativo del SESPA en cada fase.</w:t>
      </w:r>
    </w:p>
    <w:p w14:paraId="1F070FB8" w14:textId="77777777" w:rsidR="00F25424" w:rsidRPr="00F25424" w:rsidRDefault="00F25424" w:rsidP="00F25424">
      <w:pPr>
        <w:jc w:val="both"/>
        <w:rPr>
          <w:b/>
        </w:rPr>
      </w:pPr>
      <w:r w:rsidRPr="00F25424">
        <w:rPr>
          <w:b/>
        </w:rPr>
        <w:t>Metodología</w:t>
      </w:r>
    </w:p>
    <w:p w14:paraId="6CF2C947" w14:textId="77777777" w:rsidR="00F25424" w:rsidRPr="00F25424" w:rsidRDefault="00F25424" w:rsidP="00F25424">
      <w:pPr>
        <w:jc w:val="both"/>
      </w:pPr>
      <w:r w:rsidRPr="00F25424">
        <w:t>Se ha realizado una revisión normativa y documental de carácter descriptivo. Como fuentes principales se han empleado el Real Decreto 625/2014, el Real Decreto 1060/2022 que lo modifica, la Orden ESS/1187/2015 y su actualización mediante la Orden ISM/2/2023, junto con el texto refundido de la Ley General de la Seguridad Social. Se ha considerado, asimismo, la organización administrativa del SESPA y el marco de protección de datos aplicable a la documentación clínica. A partir de estas fuentes se ha reconstruido el flujo administrativo del procedimiento.</w:t>
      </w:r>
    </w:p>
    <w:p w14:paraId="392094EA" w14:textId="77777777" w:rsidR="00F25424" w:rsidRPr="00F25424" w:rsidRDefault="00F25424" w:rsidP="00F25424">
      <w:pPr>
        <w:jc w:val="both"/>
        <w:rPr>
          <w:b/>
        </w:rPr>
      </w:pPr>
      <w:r w:rsidRPr="00F25424">
        <w:rPr>
          <w:b/>
        </w:rPr>
        <w:t>Resultados</w:t>
      </w:r>
    </w:p>
    <w:p w14:paraId="31FDB30B" w14:textId="77777777" w:rsidR="00F25424" w:rsidRPr="00F25424" w:rsidRDefault="00F25424" w:rsidP="00F25424">
      <w:pPr>
        <w:jc w:val="both"/>
      </w:pPr>
      <w:r w:rsidRPr="00F25424">
        <w:t>El procedimiento se articula en torno a tres documentos: el parte de baja (inicia el proceso), el parte de confirmación (mantiene la situación) y el parte de alta (lo finaliza). La frecuencia de los partes de confirmación depende de la duración estimada por el personal médico, conforme a cuatro grupos:</w:t>
      </w:r>
    </w:p>
    <w:p w14:paraId="6CCA8542" w14:textId="77777777" w:rsidR="00F25424" w:rsidRPr="00F25424" w:rsidRDefault="00F25424" w:rsidP="00F25424">
      <w:pPr>
        <w:numPr>
          <w:ilvl w:val="0"/>
          <w:numId w:val="46"/>
        </w:numPr>
        <w:jc w:val="both"/>
      </w:pPr>
      <w:r w:rsidRPr="00F25424">
        <w:t xml:space="preserve">Procesos de duración estimada inferior a cinco días naturales: el parte de baja y el de </w:t>
      </w:r>
      <w:proofErr w:type="spellStart"/>
      <w:r w:rsidRPr="00F25424">
        <w:t>altase</w:t>
      </w:r>
      <w:proofErr w:type="spellEnd"/>
      <w:r w:rsidRPr="00F25424">
        <w:t xml:space="preserve"> emiten en el mismo acto.</w:t>
      </w:r>
    </w:p>
    <w:p w14:paraId="30673422" w14:textId="77777777" w:rsidR="00F25424" w:rsidRPr="00F25424" w:rsidRDefault="00F25424" w:rsidP="00F25424">
      <w:pPr>
        <w:numPr>
          <w:ilvl w:val="0"/>
          <w:numId w:val="46"/>
        </w:numPr>
        <w:jc w:val="both"/>
      </w:pPr>
      <w:r w:rsidRPr="00F25424">
        <w:t xml:space="preserve">Procesos de cinco a treinta días naturales: primera revisión en un máximo de siete días </w:t>
      </w:r>
      <w:proofErr w:type="spellStart"/>
      <w:r w:rsidRPr="00F25424">
        <w:t>yconfirmaciones</w:t>
      </w:r>
      <w:proofErr w:type="spellEnd"/>
      <w:r w:rsidRPr="00F25424">
        <w:t xml:space="preserve"> cada catorce días como máximo.</w:t>
      </w:r>
    </w:p>
    <w:p w14:paraId="0247B946" w14:textId="77777777" w:rsidR="00F25424" w:rsidRPr="00F25424" w:rsidRDefault="00F25424" w:rsidP="00F25424">
      <w:pPr>
        <w:numPr>
          <w:ilvl w:val="0"/>
          <w:numId w:val="46"/>
        </w:numPr>
        <w:jc w:val="both"/>
      </w:pPr>
      <w:r w:rsidRPr="00F25424">
        <w:t xml:space="preserve">Procesos de treinta y uno a sesenta días naturales: primera revisión en un máximo de </w:t>
      </w:r>
      <w:proofErr w:type="spellStart"/>
      <w:r w:rsidRPr="00F25424">
        <w:t>sietedías</w:t>
      </w:r>
      <w:proofErr w:type="spellEnd"/>
      <w:r w:rsidRPr="00F25424">
        <w:t xml:space="preserve"> y confirmaciones cada veintiocho días como máximo.</w:t>
      </w:r>
    </w:p>
    <w:p w14:paraId="149B5965" w14:textId="77777777" w:rsidR="00F25424" w:rsidRPr="00F25424" w:rsidRDefault="00F25424" w:rsidP="00F25424">
      <w:pPr>
        <w:numPr>
          <w:ilvl w:val="0"/>
          <w:numId w:val="46"/>
        </w:numPr>
        <w:jc w:val="both"/>
      </w:pPr>
      <w:r w:rsidRPr="00F25424">
        <w:t xml:space="preserve">Procesos de sesenta y un días o más: primera revisión en un máximo de catorce días </w:t>
      </w:r>
      <w:proofErr w:type="spellStart"/>
      <w:r w:rsidRPr="00F25424">
        <w:t>yconfirmaciones</w:t>
      </w:r>
      <w:proofErr w:type="spellEnd"/>
      <w:r w:rsidRPr="00F25424">
        <w:t xml:space="preserve"> cada treinta y cinco días como máximo.</w:t>
      </w:r>
    </w:p>
    <w:p w14:paraId="26C13C8E" w14:textId="77777777" w:rsidR="00F25424" w:rsidRPr="00F25424" w:rsidRDefault="00F25424" w:rsidP="00F25424">
      <w:pPr>
        <w:jc w:val="both"/>
      </w:pPr>
      <w:r w:rsidRPr="00F25424">
        <w:t>El segundo resultado es el cambio introducido por el Real Decreto 1060/2022, en vigor desde el 1 de abril de 2023. Desde esa fecha, la persona trabajadora ya no está obligada a presentar la copia del parte a su empresa: el facultativo entrega una única copia al interesado y es el servicio público de salud o la mutua quien comunica telemáticamente los datos al INSS, que a su vez los traslada a la empresa.</w:t>
      </w:r>
    </w:p>
    <w:p w14:paraId="5E3CDB4A" w14:textId="77777777" w:rsidR="00F25424" w:rsidRPr="00F25424" w:rsidRDefault="00F25424" w:rsidP="00F25424">
      <w:pPr>
        <w:jc w:val="both"/>
      </w:pPr>
      <w:r w:rsidRPr="00F25424">
        <w:t xml:space="preserve">El tercer resultado es el refuerzo de las tareas administrativas internas en el SESPA. La correcta grabación de los datos en la aplicación corporativa ECAP, la identificación inequívoca del trabajador, el respeto de los plazos de revisión y la transmisión telemática sin incidencias se convierten en el eje del procedimiento, </w:t>
      </w:r>
      <w:r w:rsidRPr="00F25424">
        <w:lastRenderedPageBreak/>
        <w:t>ya que el error deja de ser subsanable por el propio trabajador mediante la entrega manual del documento.</w:t>
      </w:r>
    </w:p>
    <w:p w14:paraId="5FB59F91" w14:textId="77777777" w:rsidR="00F25424" w:rsidRPr="00F25424" w:rsidRDefault="00F25424" w:rsidP="00F25424">
      <w:pPr>
        <w:jc w:val="both"/>
        <w:rPr>
          <w:b/>
        </w:rPr>
      </w:pPr>
      <w:r w:rsidRPr="00F25424">
        <w:rPr>
          <w:b/>
        </w:rPr>
        <w:t>Discusión</w:t>
      </w:r>
    </w:p>
    <w:p w14:paraId="55B756EA" w14:textId="77777777" w:rsidR="00F25424" w:rsidRPr="00F25424" w:rsidRDefault="00F25424" w:rsidP="00F25424">
      <w:pPr>
        <w:jc w:val="both"/>
      </w:pPr>
      <w:r w:rsidRPr="00F25424">
        <w:t>La reforma de 2023 mejora la experiencia del usuario, al liberarle de una carga burocrática precisamente cuando está enfermo. Sin embargo, esa simplificación incrementa la corresponsabilidad de las administraciones. En el SESPA, el personal administrativo de las unidades de admisión asume un papel silencioso pero crítico: si el dato no se graba correctamente o no se transmite en plazo, el efecto puede ser la interrupción del pago de la prestación o la generación de una reclamación.</w:t>
      </w:r>
    </w:p>
    <w:p w14:paraId="758E35A8" w14:textId="77777777" w:rsidR="00F25424" w:rsidRPr="00F25424" w:rsidRDefault="00F25424" w:rsidP="00F25424">
      <w:pPr>
        <w:jc w:val="both"/>
      </w:pPr>
      <w:r w:rsidRPr="00F25424">
        <w:t>Un segundo aspecto es la confidencialidad. Los partes de IT contienen datos de salud, considerados categoría especialmente protegida. El auxiliar administrativo del SESPA accede a esta información por estricta necesidad de gestión y queda sujeto al deber de secreto, debiendo evitar accesos no justificados o la exposición de documentos en zonas visibles del mostrador.</w:t>
      </w:r>
    </w:p>
    <w:p w14:paraId="6BAD6863" w14:textId="77777777" w:rsidR="00F25424" w:rsidRPr="00F25424" w:rsidRDefault="00F25424" w:rsidP="00F25424">
      <w:pPr>
        <w:jc w:val="both"/>
      </w:pPr>
      <w:r w:rsidRPr="00F25424">
        <w:t>Por último, la transición a un modelo telemático exige formación continua del personal administrativo asturiano en el manejo de las aplicaciones corporativas y en el conocimiento de los plazos asociados a cada grupo de procesos.</w:t>
      </w:r>
    </w:p>
    <w:p w14:paraId="768A8FA1" w14:textId="77777777" w:rsidR="00F25424" w:rsidRPr="00F25424" w:rsidRDefault="00F25424" w:rsidP="00F25424">
      <w:pPr>
        <w:jc w:val="both"/>
        <w:rPr>
          <w:b/>
        </w:rPr>
      </w:pPr>
      <w:r w:rsidRPr="00F25424">
        <w:rPr>
          <w:b/>
        </w:rPr>
        <w:t>Conclusiones</w:t>
      </w:r>
    </w:p>
    <w:p w14:paraId="3CB50275" w14:textId="77777777" w:rsidR="00F25424" w:rsidRPr="00F25424" w:rsidRDefault="00F25424" w:rsidP="00F25424">
      <w:pPr>
        <w:jc w:val="both"/>
      </w:pPr>
      <w:r w:rsidRPr="00F25424">
        <w:t>La tramitación de la IT es un procedimiento aparentemente rutinario que concentra una notable responsabilidad jurídica, económica y deontológica. La reforma del Real Decreto 1060/2022 ha simplificado las obligaciones del trabajador y ha consolidado un modelo de gestión telemática en el que el auxiliar administrativo del SESPA resulta determinante para garantizar la correcta grabación, comunicación y archivo de los partes.</w:t>
      </w:r>
    </w:p>
    <w:p w14:paraId="072C1CCC" w14:textId="77777777" w:rsidR="00F25424" w:rsidRPr="00F25424" w:rsidRDefault="00F25424" w:rsidP="00F25424">
      <w:pPr>
        <w:jc w:val="both"/>
      </w:pPr>
      <w:r w:rsidRPr="00F25424">
        <w:t>La profesionalización del personal, el conocimiento actualizado de la normativa, el respeto de los plazos y la protección de los datos de salud constituyen los pilares de una gestión eficaz al servicio de la ciudadanía asturiana.</w:t>
      </w:r>
    </w:p>
    <w:p w14:paraId="42596CDD" w14:textId="77777777" w:rsidR="00F25424" w:rsidRPr="00F25424" w:rsidRDefault="00F25424" w:rsidP="00F25424">
      <w:pPr>
        <w:jc w:val="both"/>
        <w:rPr>
          <w:b/>
        </w:rPr>
      </w:pPr>
      <w:r w:rsidRPr="00F25424">
        <w:rPr>
          <w:b/>
        </w:rPr>
        <w:t>Bibliografía (APA)</w:t>
      </w:r>
    </w:p>
    <w:p w14:paraId="7BB2414F" w14:textId="77777777" w:rsidR="00F25424" w:rsidRPr="00F25424" w:rsidRDefault="00F25424" w:rsidP="00F25424">
      <w:pPr>
        <w:jc w:val="both"/>
        <w:rPr>
          <w:b/>
        </w:rPr>
      </w:pPr>
      <w:r w:rsidRPr="00F25424">
        <w:rPr>
          <w:b/>
        </w:rPr>
        <w:t>Normativa y documentos oficiales</w:t>
      </w:r>
    </w:p>
    <w:p w14:paraId="00806A8A" w14:textId="77777777" w:rsidR="00F25424" w:rsidRPr="00F25424" w:rsidRDefault="00F25424" w:rsidP="00F25424">
      <w:pPr>
        <w:numPr>
          <w:ilvl w:val="0"/>
          <w:numId w:val="47"/>
        </w:numPr>
        <w:jc w:val="both"/>
      </w:pPr>
      <w:r w:rsidRPr="00F25424">
        <w:t xml:space="preserve">Real Decreto Legislativo 8/2015, de 30 de octubre, por el que se aprueba el texto refundido de la </w:t>
      </w:r>
      <w:proofErr w:type="spellStart"/>
      <w:r w:rsidRPr="00F25424">
        <w:t>LeyGeneral</w:t>
      </w:r>
      <w:proofErr w:type="spellEnd"/>
      <w:r w:rsidRPr="00F25424">
        <w:t xml:space="preserve"> de la Seguridad Social. Boletín Oficial del Estado, núm. 261, de 31 de octubre de 2015.</w:t>
      </w:r>
    </w:p>
    <w:p w14:paraId="5983E6E7" w14:textId="77777777" w:rsidR="00F25424" w:rsidRPr="00F25424" w:rsidRDefault="00F25424" w:rsidP="00F25424">
      <w:pPr>
        <w:numPr>
          <w:ilvl w:val="0"/>
          <w:numId w:val="47"/>
        </w:numPr>
        <w:jc w:val="both"/>
      </w:pPr>
      <w:r w:rsidRPr="00F25424">
        <w:t xml:space="preserve">Real Decreto 625/2014, de 18 de julio, por el que se regulan determinados aspectos de la gestión </w:t>
      </w:r>
      <w:proofErr w:type="spellStart"/>
      <w:r w:rsidRPr="00F25424">
        <w:t>ycontrol</w:t>
      </w:r>
      <w:proofErr w:type="spellEnd"/>
      <w:r w:rsidRPr="00F25424">
        <w:t xml:space="preserve"> de los procesos por incapacidad temporal en los primeros 365 días de su duración. Boletín Oficial del Estado, núm. 176, de 21 de julio de 2014.</w:t>
      </w:r>
    </w:p>
    <w:p w14:paraId="343E23A8" w14:textId="77777777" w:rsidR="00F25424" w:rsidRPr="00F25424" w:rsidRDefault="00F25424" w:rsidP="00F25424">
      <w:pPr>
        <w:numPr>
          <w:ilvl w:val="0"/>
          <w:numId w:val="47"/>
        </w:numPr>
        <w:jc w:val="both"/>
      </w:pPr>
      <w:r w:rsidRPr="00F25424">
        <w:lastRenderedPageBreak/>
        <w:t>Real Decreto 1060/2022, de 27 de diciembre, por el que se modifica el Real Decreto 625/2014, de 18de julio. Boletín Oficial del Estado, núm. 4, de 5 de enero de 2023.</w:t>
      </w:r>
    </w:p>
    <w:p w14:paraId="4EEAAD03" w14:textId="77777777" w:rsidR="00F25424" w:rsidRPr="00F25424" w:rsidRDefault="00F25424" w:rsidP="00F25424">
      <w:pPr>
        <w:numPr>
          <w:ilvl w:val="0"/>
          <w:numId w:val="47"/>
        </w:numPr>
        <w:jc w:val="both"/>
      </w:pPr>
      <w:r w:rsidRPr="00F25424">
        <w:t xml:space="preserve">Orden ESS/1187/2015, de 15 de junio, por la que se desarrolla el Real Decreto 625/2014, de 18 </w:t>
      </w:r>
      <w:proofErr w:type="spellStart"/>
      <w:r w:rsidRPr="00F25424">
        <w:t>dejulio</w:t>
      </w:r>
      <w:proofErr w:type="spellEnd"/>
      <w:r w:rsidRPr="00F25424">
        <w:t>. Boletín Oficial del Estado, núm. 147, de 20 de junio de 2015.</w:t>
      </w:r>
    </w:p>
    <w:p w14:paraId="1BFC22C9" w14:textId="77777777" w:rsidR="00F25424" w:rsidRPr="00F25424" w:rsidRDefault="00F25424" w:rsidP="00F25424">
      <w:pPr>
        <w:jc w:val="both"/>
        <w:rPr>
          <w:b/>
        </w:rPr>
      </w:pPr>
      <w:r w:rsidRPr="00F25424">
        <w:rPr>
          <w:b/>
        </w:rPr>
        <w:t>Documentos institucionales</w:t>
      </w:r>
    </w:p>
    <w:p w14:paraId="32CF3291" w14:textId="77777777" w:rsidR="00F25424" w:rsidRPr="00F25424" w:rsidRDefault="00F25424" w:rsidP="00F25424">
      <w:pPr>
        <w:jc w:val="both"/>
      </w:pPr>
      <w:r w:rsidRPr="00F25424">
        <w:t>•  Instituto Nacional de la Seguridad Social (INSS). (s. f.). Incapacidad temporal: información y trámites.</w:t>
      </w:r>
    </w:p>
    <w:p w14:paraId="51D3AB55" w14:textId="77777777" w:rsidR="00F25424" w:rsidRPr="00F25424" w:rsidRDefault="00F25424" w:rsidP="00F25424">
      <w:pPr>
        <w:jc w:val="both"/>
      </w:pPr>
      <w:r w:rsidRPr="00F25424">
        <w:t>Seguridad Social. https://www.seg-social.es</w:t>
      </w:r>
    </w:p>
    <w:p w14:paraId="6D09AE4D" w14:textId="77777777" w:rsidR="00F25424" w:rsidRDefault="00F25424" w:rsidP="00CE24EF">
      <w:pPr>
        <w:jc w:val="both"/>
      </w:pPr>
    </w:p>
    <w:p w14:paraId="30C71F5F" w14:textId="77777777" w:rsidR="00982C5C" w:rsidRDefault="00982C5C" w:rsidP="00CE24EF">
      <w:pPr>
        <w:jc w:val="both"/>
      </w:pPr>
    </w:p>
    <w:p w14:paraId="64A40F14" w14:textId="77777777" w:rsidR="00982C5C" w:rsidRDefault="00982C5C" w:rsidP="00CE24EF">
      <w:pPr>
        <w:jc w:val="both"/>
      </w:pPr>
    </w:p>
    <w:p w14:paraId="20A065D3" w14:textId="77777777" w:rsidR="00982C5C" w:rsidRDefault="00982C5C" w:rsidP="00CE24EF">
      <w:pPr>
        <w:jc w:val="both"/>
      </w:pPr>
    </w:p>
    <w:p w14:paraId="75A36EF2" w14:textId="77777777" w:rsidR="00982C5C" w:rsidRDefault="00982C5C" w:rsidP="00CE24EF">
      <w:pPr>
        <w:jc w:val="both"/>
      </w:pPr>
    </w:p>
    <w:p w14:paraId="61BEF7DA" w14:textId="77777777" w:rsidR="00982C5C" w:rsidRDefault="00982C5C" w:rsidP="00CE24EF">
      <w:pPr>
        <w:jc w:val="both"/>
      </w:pPr>
    </w:p>
    <w:p w14:paraId="4526D6D3" w14:textId="77777777" w:rsidR="00982C5C" w:rsidRDefault="00982C5C" w:rsidP="00CE24EF">
      <w:pPr>
        <w:jc w:val="both"/>
      </w:pPr>
    </w:p>
    <w:p w14:paraId="33D8A55D" w14:textId="77777777" w:rsidR="00982C5C" w:rsidRDefault="00982C5C" w:rsidP="00CE24EF">
      <w:pPr>
        <w:jc w:val="both"/>
      </w:pPr>
    </w:p>
    <w:p w14:paraId="2CEE7CD6" w14:textId="77777777" w:rsidR="00982C5C" w:rsidRDefault="00982C5C" w:rsidP="00CE24EF">
      <w:pPr>
        <w:jc w:val="both"/>
      </w:pPr>
    </w:p>
    <w:p w14:paraId="00CEB011" w14:textId="77777777" w:rsidR="00982C5C" w:rsidRDefault="00982C5C" w:rsidP="00CE24EF">
      <w:pPr>
        <w:jc w:val="both"/>
      </w:pPr>
    </w:p>
    <w:p w14:paraId="3B538196" w14:textId="77777777" w:rsidR="00982C5C" w:rsidRDefault="00982C5C" w:rsidP="00CE24EF">
      <w:pPr>
        <w:jc w:val="both"/>
      </w:pPr>
    </w:p>
    <w:p w14:paraId="2DD9FB2C" w14:textId="77777777" w:rsidR="00982C5C" w:rsidRDefault="00982C5C" w:rsidP="00CE24EF">
      <w:pPr>
        <w:jc w:val="both"/>
      </w:pPr>
    </w:p>
    <w:p w14:paraId="079A0EC7" w14:textId="77777777" w:rsidR="00982C5C" w:rsidRDefault="00982C5C" w:rsidP="00CE24EF">
      <w:pPr>
        <w:jc w:val="both"/>
      </w:pPr>
    </w:p>
    <w:p w14:paraId="6DEAFA27" w14:textId="77777777" w:rsidR="00982C5C" w:rsidRDefault="00982C5C" w:rsidP="00CE24EF">
      <w:pPr>
        <w:jc w:val="both"/>
      </w:pPr>
    </w:p>
    <w:p w14:paraId="0861EF4D" w14:textId="77777777" w:rsidR="00982C5C" w:rsidRDefault="00982C5C" w:rsidP="00CE24EF">
      <w:pPr>
        <w:jc w:val="both"/>
      </w:pPr>
    </w:p>
    <w:p w14:paraId="3F0A00AF" w14:textId="77777777" w:rsidR="00982C5C" w:rsidRDefault="00982C5C" w:rsidP="00CE24EF">
      <w:pPr>
        <w:jc w:val="both"/>
      </w:pPr>
    </w:p>
    <w:p w14:paraId="241A90C7" w14:textId="77777777" w:rsidR="00982C5C" w:rsidRDefault="00982C5C" w:rsidP="00CE24EF">
      <w:pPr>
        <w:jc w:val="both"/>
      </w:pPr>
    </w:p>
    <w:p w14:paraId="33DDFAAE" w14:textId="77777777" w:rsidR="00982C5C" w:rsidRDefault="00982C5C" w:rsidP="00CE24EF">
      <w:pPr>
        <w:jc w:val="both"/>
      </w:pPr>
    </w:p>
    <w:p w14:paraId="5F6770F7" w14:textId="77777777" w:rsidR="00982C5C" w:rsidRDefault="00982C5C" w:rsidP="00CE24EF">
      <w:pPr>
        <w:jc w:val="both"/>
      </w:pPr>
    </w:p>
    <w:p w14:paraId="3898EFDA" w14:textId="77777777" w:rsidR="00982C5C" w:rsidRDefault="00982C5C" w:rsidP="00CE24EF">
      <w:pPr>
        <w:jc w:val="both"/>
      </w:pPr>
    </w:p>
    <w:p w14:paraId="71D662DF" w14:textId="77777777" w:rsidR="00052980" w:rsidRPr="00052980" w:rsidRDefault="00052980" w:rsidP="00052980">
      <w:pPr>
        <w:jc w:val="both"/>
        <w:rPr>
          <w:b/>
          <w:bCs/>
        </w:rPr>
      </w:pPr>
      <w:r w:rsidRPr="00052980">
        <w:rPr>
          <w:b/>
          <w:bCs/>
        </w:rPr>
        <w:lastRenderedPageBreak/>
        <w:t>La gestión responsable de los recursos materiales por parte del personal sanitario y no sanitario</w:t>
      </w:r>
    </w:p>
    <w:p w14:paraId="489C0297" w14:textId="77777777" w:rsidR="00052980" w:rsidRPr="00052980" w:rsidRDefault="00052980" w:rsidP="00052980">
      <w:pPr>
        <w:jc w:val="both"/>
        <w:rPr>
          <w:b/>
          <w:bCs/>
        </w:rPr>
      </w:pPr>
    </w:p>
    <w:p w14:paraId="241C452E" w14:textId="77777777" w:rsidR="00052980" w:rsidRPr="00052980" w:rsidRDefault="00052980" w:rsidP="00052980">
      <w:pPr>
        <w:jc w:val="both"/>
        <w:rPr>
          <w:b/>
          <w:bCs/>
        </w:rPr>
      </w:pPr>
      <w:r w:rsidRPr="00052980">
        <w:rPr>
          <w:b/>
          <w:bCs/>
        </w:rPr>
        <w:t>1. Introducción</w:t>
      </w:r>
    </w:p>
    <w:p w14:paraId="6B96C5E2" w14:textId="77777777" w:rsidR="00052980" w:rsidRPr="00052980" w:rsidRDefault="00052980" w:rsidP="00052980">
      <w:pPr>
        <w:jc w:val="both"/>
      </w:pPr>
      <w:r w:rsidRPr="00052980">
        <w:t>El uso adecuado de los recursos materiales en los centros sanitarios constituye un elemento fundamental para la eficiencia del sistema de salud, la sostenibilidad ambiental y la seguridad asistencial. Los hospitales y centros de atención sanitaria requieren diariamente un elevado consumo de materiales clínicos, farmacológicos, logísticos y de soporte.</w:t>
      </w:r>
    </w:p>
    <w:p w14:paraId="12325695" w14:textId="77777777" w:rsidR="00052980" w:rsidRPr="00052980" w:rsidRDefault="00052980" w:rsidP="00052980">
      <w:pPr>
        <w:jc w:val="both"/>
      </w:pPr>
      <w:r w:rsidRPr="00052980">
        <w:t>En este contexto, el uso responsable no se limita al ahorro económico, sino que implica una utilización racional, consciente y eficiente de los recursos disponibles. Este principio debe ser compartido por todas las categorías profesionales, tanto sanitarias como no sanitarias, ya que cada una de ellas forma parte de un sistema interdependiente.</w:t>
      </w:r>
    </w:p>
    <w:p w14:paraId="30303FC3" w14:textId="77777777" w:rsidR="00052980" w:rsidRPr="00052980" w:rsidRDefault="00052980" w:rsidP="00052980">
      <w:pPr>
        <w:jc w:val="both"/>
      </w:pPr>
      <w:r w:rsidRPr="00052980">
        <w:t xml:space="preserve">Este capítulo analiza el papel del personal médico, de enfermería, TCAE, celadores, administrativos, telefonistas, personal de limpieza, cocina, lencería, planchadores, seguridad y servicios en la gestión responsable de los recursos materiales dentro del entorno sanitario. </w:t>
      </w:r>
    </w:p>
    <w:p w14:paraId="460AE711" w14:textId="77777777" w:rsidR="00052980" w:rsidRPr="00052980" w:rsidRDefault="00052980" w:rsidP="00052980">
      <w:pPr>
        <w:jc w:val="both"/>
      </w:pPr>
    </w:p>
    <w:p w14:paraId="2B4F5F1A" w14:textId="77777777" w:rsidR="00052980" w:rsidRPr="00052980" w:rsidRDefault="00052980" w:rsidP="00052980">
      <w:pPr>
        <w:jc w:val="both"/>
        <w:rPr>
          <w:b/>
          <w:bCs/>
        </w:rPr>
      </w:pPr>
      <w:r w:rsidRPr="00052980">
        <w:rPr>
          <w:b/>
          <w:bCs/>
        </w:rPr>
        <w:t>2. Metodología</w:t>
      </w:r>
    </w:p>
    <w:p w14:paraId="1F003FD0" w14:textId="77777777" w:rsidR="00052980" w:rsidRPr="00052980" w:rsidRDefault="00052980" w:rsidP="00052980">
      <w:pPr>
        <w:jc w:val="both"/>
      </w:pPr>
      <w:r w:rsidRPr="00052980">
        <w:t>Se ha realizado una revisión bibliográfica narrativa mediante la consulta de bases de datos científicas como PubMed y fuentes institucionales relacionadas con la gestión sanitaria y la sostenibilidad. Se emplearon palabras clave como “uso responsable de recursos sanitarios”, “sostenibilidad hospitalaria”, “eficiencia en salud” y “gestión de materiales en hospitales”.</w:t>
      </w:r>
    </w:p>
    <w:p w14:paraId="679CE075" w14:textId="77777777" w:rsidR="00052980" w:rsidRPr="00052980" w:rsidRDefault="00052980" w:rsidP="00052980">
      <w:pPr>
        <w:jc w:val="both"/>
      </w:pPr>
      <w:r w:rsidRPr="00052980">
        <w:t>Se seleccionaron artículos científicos, guías técnicas y documentos de organismos nacionales e internacionales relacionados con la gestión eficiente de recursos. El análisis se centró en identificar prácticas de uso responsable de materiales en diferentes categorías profesionales y su impacto en la calidad asistencial, la seguridad del paciente y la sostenibilidad del sistema sanitario.</w:t>
      </w:r>
    </w:p>
    <w:p w14:paraId="085BD6CD" w14:textId="77777777" w:rsidR="00052980" w:rsidRPr="00052980" w:rsidRDefault="00052980" w:rsidP="00052980">
      <w:pPr>
        <w:jc w:val="both"/>
      </w:pPr>
    </w:p>
    <w:p w14:paraId="464C3856" w14:textId="77777777" w:rsidR="00052980" w:rsidRPr="00052980" w:rsidRDefault="00052980" w:rsidP="00052980">
      <w:pPr>
        <w:jc w:val="both"/>
        <w:rPr>
          <w:b/>
          <w:bCs/>
        </w:rPr>
      </w:pPr>
      <w:r w:rsidRPr="00052980">
        <w:rPr>
          <w:b/>
          <w:bCs/>
        </w:rPr>
        <w:t>3. Resultados</w:t>
      </w:r>
    </w:p>
    <w:p w14:paraId="751A081E" w14:textId="77777777" w:rsidR="00052980" w:rsidRPr="00052980" w:rsidRDefault="00052980" w:rsidP="00052980">
      <w:pPr>
        <w:jc w:val="both"/>
      </w:pPr>
      <w:r w:rsidRPr="00052980">
        <w:t xml:space="preserve">La revisión de la literatura evidencia que el uso responsable de los materiales en los centros sanitarios constituye un elemento clave para la sostenibilidad del sistema sanitario, la eficiencia organizativa y la calidad asistencial. Se observa que todas </w:t>
      </w:r>
      <w:r w:rsidRPr="00052980">
        <w:lastRenderedPageBreak/>
        <w:t>las categorías profesionales, tanto sanitarias como no sanitarias, contribuyen de manera directa o indirecta al consumo y gestión de recursos.</w:t>
      </w:r>
    </w:p>
    <w:p w14:paraId="02B64EAE" w14:textId="77777777" w:rsidR="00052980" w:rsidRPr="00052980" w:rsidRDefault="00052980" w:rsidP="00052980">
      <w:pPr>
        <w:jc w:val="both"/>
      </w:pPr>
      <w:r w:rsidRPr="00052980">
        <w:t>En el personal médico y de enfermería, el uso responsable se relaciona con la correcta indicación de pruebas diagnósticas, el uso racional de medicamentos y la planificación eficiente del material clínico. La optimización de recursos en estas áreas reduce el desperdicio sanitario y mejora la seguridad del paciente.</w:t>
      </w:r>
    </w:p>
    <w:p w14:paraId="26F50C5B" w14:textId="77777777" w:rsidR="00052980" w:rsidRPr="00052980" w:rsidRDefault="00052980" w:rsidP="00052980">
      <w:pPr>
        <w:jc w:val="both"/>
      </w:pPr>
      <w:r w:rsidRPr="00052980">
        <w:t>En el caso de los TCAE, la gestión responsable implica el uso adecuado de material desechable, la preparación eficiente de curas y el control de caducidades. Una organización adecuada del material clínico en carros y unidades permite evitar pérdidas y mejorar la eficiencia en la atención directa.</w:t>
      </w:r>
    </w:p>
    <w:p w14:paraId="21E7B9CF" w14:textId="77777777" w:rsidR="00052980" w:rsidRPr="00052980" w:rsidRDefault="00052980" w:rsidP="00052980">
      <w:pPr>
        <w:jc w:val="both"/>
      </w:pPr>
      <w:r w:rsidRPr="00052980">
        <w:t>Los celadores desempeñan un papel relevante en el mantenimiento y conservación del material sanitario, especialmente en el traslado de camas, camillas y equipos. Su actuación también influye en el uso eficiente de recursos energéticos mediante el control de luces, accesos y desplazamientos internos, contribuyendo a la sostenibilidad del entorno hospitalario.</w:t>
      </w:r>
    </w:p>
    <w:p w14:paraId="51CFEDE6" w14:textId="77777777" w:rsidR="00052980" w:rsidRPr="00052980" w:rsidRDefault="00052980" w:rsidP="00052980">
      <w:pPr>
        <w:jc w:val="both"/>
      </w:pPr>
      <w:r w:rsidRPr="00052980">
        <w:t>El personal administrativo y telefonista tiene un impacto significativo en el uso de papel, material de oficina y sistemas digitales. La digitalización de procesos, la reducción de impresiones innecesarias y la correcta gestión documental contribuyen a disminuir el consumo de recursos y mejorar la eficiencia organizativa.</w:t>
      </w:r>
    </w:p>
    <w:p w14:paraId="30E67722" w14:textId="77777777" w:rsidR="00052980" w:rsidRPr="00052980" w:rsidRDefault="00052980" w:rsidP="00052980">
      <w:pPr>
        <w:jc w:val="both"/>
      </w:pPr>
      <w:r w:rsidRPr="00052980">
        <w:t>En el ámbito de la limpieza, el uso responsable se centra en la dosificación adecuada de productos químicos, la optimización del consumo de agua y el uso correcto de materiales reutilizables. La aplicación de protocolos adecuados permite mantener la seguridad ambiental sin aumentar el consumo innecesario de recursos.</w:t>
      </w:r>
    </w:p>
    <w:p w14:paraId="14752061" w14:textId="77777777" w:rsidR="00052980" w:rsidRPr="00052980" w:rsidRDefault="00052980" w:rsidP="00052980">
      <w:pPr>
        <w:jc w:val="both"/>
      </w:pPr>
      <w:r w:rsidRPr="00052980">
        <w:t>El personal de cocina, lencería y planchadores contribuye a la sostenibilidad mediante el control de raciones alimentarias, la gestión eficiente de productos perecederos y la reducción del desperdicio textil. La planificación adecuada de menús y materiales permite optimizar recursos sin comprometer la calidad del servicio.</w:t>
      </w:r>
    </w:p>
    <w:p w14:paraId="6C67F896" w14:textId="77777777" w:rsidR="00052980" w:rsidRPr="00052980" w:rsidRDefault="00052980" w:rsidP="00052980">
      <w:pPr>
        <w:jc w:val="both"/>
      </w:pPr>
      <w:r w:rsidRPr="00052980">
        <w:t>En el personal de seguridad y servicios, el uso responsable se relaciona con la vigilancia de instalaciones, la prevención de pérdidas materiales y el uso adecuado de equipos de protección y comunicación.</w:t>
      </w:r>
    </w:p>
    <w:p w14:paraId="6BB87A0A" w14:textId="77777777" w:rsidR="00052980" w:rsidRPr="00052980" w:rsidRDefault="00052980" w:rsidP="00052980">
      <w:pPr>
        <w:jc w:val="both"/>
      </w:pPr>
      <w:r w:rsidRPr="00052980">
        <w:t xml:space="preserve">En conjunto, los resultados muestran que el uso responsable de materiales no depende de grandes intervenciones estructurales, sino de pequeñas acciones cotidianas realizadas por cada categoría profesional. Cuando estas prácticas se integran en la cultura organizacional, se observa una reducción significativa del </w:t>
      </w:r>
      <w:r w:rsidRPr="00052980">
        <w:lastRenderedPageBreak/>
        <w:t>desperdicio, una mejora en la eficiencia y una mayor sostenibilidad del sistema sanitario.</w:t>
      </w:r>
    </w:p>
    <w:p w14:paraId="1F2ED309" w14:textId="77777777" w:rsidR="00052980" w:rsidRPr="00052980" w:rsidRDefault="00052980" w:rsidP="00052980">
      <w:pPr>
        <w:jc w:val="both"/>
      </w:pPr>
    </w:p>
    <w:p w14:paraId="6262CE6B" w14:textId="77777777" w:rsidR="00052980" w:rsidRPr="00052980" w:rsidRDefault="00052980" w:rsidP="00052980">
      <w:pPr>
        <w:jc w:val="both"/>
        <w:rPr>
          <w:b/>
          <w:bCs/>
        </w:rPr>
      </w:pPr>
      <w:r w:rsidRPr="00052980">
        <w:rPr>
          <w:b/>
          <w:bCs/>
        </w:rPr>
        <w:t>4. Conclusiones</w:t>
      </w:r>
    </w:p>
    <w:p w14:paraId="0395CA06" w14:textId="77777777" w:rsidR="00052980" w:rsidRPr="00052980" w:rsidRDefault="00052980" w:rsidP="00052980">
      <w:pPr>
        <w:jc w:val="both"/>
      </w:pPr>
      <w:r w:rsidRPr="00052980">
        <w:t>Los resultados obtenidos confirman que la gestión responsable de los recursos materiales debe entenderse como una responsabilidad compartida dentro del entorno sanitario. Todas las categorías profesionales, independientemente de su función, influyen en la eficiencia global del sistema.</w:t>
      </w:r>
    </w:p>
    <w:p w14:paraId="2473F1EB" w14:textId="77777777" w:rsidR="00052980" w:rsidRPr="00052980" w:rsidRDefault="00052980" w:rsidP="00052980">
      <w:pPr>
        <w:jc w:val="both"/>
      </w:pPr>
      <w:r w:rsidRPr="00052980">
        <w:t>La evidencia revisada demuestra que la aplicación de buenas prácticas en el uso de materiales no solo reduce costes económicos, sino que también mejora la seguridad del paciente, disminuye el impacto ambiental y favorece la organización del trabajo.</w:t>
      </w:r>
    </w:p>
    <w:p w14:paraId="0F147E85" w14:textId="77777777" w:rsidR="00052980" w:rsidRPr="00052980" w:rsidRDefault="00052980" w:rsidP="00052980">
      <w:pPr>
        <w:jc w:val="both"/>
      </w:pPr>
      <w:r w:rsidRPr="00052980">
        <w:t>Se concluye que la implementación de una cultura de uso responsable requiere formación específica, protocolos claros y concienciación continua de todo el personal. La implicación conjunta de los equipos sanitarios y no sanitarios es esencial para garantizar la sostenibilidad del sistema y la calidad asistencial.</w:t>
      </w:r>
    </w:p>
    <w:p w14:paraId="204665FF" w14:textId="77777777" w:rsidR="00052980" w:rsidRPr="00052980" w:rsidRDefault="00052980" w:rsidP="00052980">
      <w:pPr>
        <w:jc w:val="both"/>
      </w:pPr>
    </w:p>
    <w:p w14:paraId="47C3AB86" w14:textId="77777777" w:rsidR="00052980" w:rsidRPr="00052980" w:rsidRDefault="00052980" w:rsidP="00052980">
      <w:pPr>
        <w:jc w:val="both"/>
        <w:rPr>
          <w:b/>
          <w:bCs/>
        </w:rPr>
      </w:pPr>
      <w:r w:rsidRPr="00052980">
        <w:rPr>
          <w:b/>
          <w:bCs/>
        </w:rPr>
        <w:t>5. Bibliografía</w:t>
      </w:r>
    </w:p>
    <w:p w14:paraId="3897FCE3" w14:textId="77777777" w:rsidR="00052980" w:rsidRPr="00052980" w:rsidRDefault="00052980" w:rsidP="00052980">
      <w:pPr>
        <w:jc w:val="both"/>
        <w:rPr>
          <w:lang w:val="en-GB"/>
        </w:rPr>
      </w:pPr>
      <w:r w:rsidRPr="00052980">
        <w:t xml:space="preserve">Webber, C. M., Martínez-Gálvez, G., Lopera Higuita, M., Ben-Abraham, E. I., Berry, B. M., González Porras, M. A., et al. </w:t>
      </w:r>
      <w:r w:rsidRPr="00052980">
        <w:rPr>
          <w:lang w:val="en-GB"/>
        </w:rPr>
        <w:t xml:space="preserve">(2020). Developing strategies for sustainable medical equipment maintenance in under-resourced settings. </w:t>
      </w:r>
      <w:r w:rsidRPr="00052980">
        <w:rPr>
          <w:i/>
          <w:iCs/>
          <w:lang w:val="en-GB"/>
        </w:rPr>
        <w:t>Annals of Global Health, 86</w:t>
      </w:r>
      <w:r w:rsidRPr="00052980">
        <w:rPr>
          <w:lang w:val="en-GB"/>
        </w:rPr>
        <w:t xml:space="preserve">(1), 39. </w:t>
      </w:r>
      <w:r>
        <w:fldChar w:fldCharType="begin"/>
      </w:r>
      <w:r w:rsidRPr="00226AFD">
        <w:rPr>
          <w:lang w:val="en-GB"/>
        </w:rPr>
        <w:instrText>HYPERLINK "https://pmc.ncbi.nlm.nih.gov/articles/PMC7164383/" \t "_new"</w:instrText>
      </w:r>
      <w:r>
        <w:fldChar w:fldCharType="separate"/>
      </w:r>
      <w:r w:rsidRPr="00052980">
        <w:rPr>
          <w:rStyle w:val="Hipervnculo"/>
          <w:lang w:val="en-GB"/>
        </w:rPr>
        <w:t>https://pmc.ncbi.nlm.nih.gov/articles/PMC7164383/</w:t>
      </w:r>
      <w:r>
        <w:fldChar w:fldCharType="end"/>
      </w:r>
    </w:p>
    <w:p w14:paraId="39CD55B3" w14:textId="77777777" w:rsidR="00052980" w:rsidRPr="00052980" w:rsidRDefault="00052980" w:rsidP="00052980">
      <w:pPr>
        <w:jc w:val="both"/>
        <w:rPr>
          <w:lang w:val="en-GB"/>
        </w:rPr>
      </w:pPr>
      <w:r w:rsidRPr="00052980">
        <w:rPr>
          <w:lang w:val="en-GB"/>
        </w:rPr>
        <w:t xml:space="preserve">Practice </w:t>
      </w:r>
      <w:proofErr w:type="spellStart"/>
      <w:r w:rsidRPr="00052980">
        <w:rPr>
          <w:lang w:val="en-GB"/>
        </w:rPr>
        <w:t>Greenhealth</w:t>
      </w:r>
      <w:proofErr w:type="spellEnd"/>
      <w:r w:rsidRPr="00052980">
        <w:rPr>
          <w:lang w:val="en-GB"/>
        </w:rPr>
        <w:t xml:space="preserve">, Health Care Without Harm, &amp; Global Green and Healthy Hospitals. (2020). </w:t>
      </w:r>
      <w:r w:rsidRPr="00052980">
        <w:rPr>
          <w:i/>
          <w:iCs/>
          <w:lang w:val="en-GB"/>
        </w:rPr>
        <w:t>Sustainable procurement in health care guide</w:t>
      </w:r>
      <w:r w:rsidRPr="00052980">
        <w:rPr>
          <w:lang w:val="en-GB"/>
        </w:rPr>
        <w:t xml:space="preserve">. </w:t>
      </w:r>
      <w:r>
        <w:fldChar w:fldCharType="begin"/>
      </w:r>
      <w:r w:rsidRPr="00226AFD">
        <w:rPr>
          <w:lang w:val="en-GB"/>
        </w:rPr>
        <w:instrText>HYPERLINK "https://practicegreenhealth.org/sites/default/files/2020-07/Sustainable%20procurement%20guide%20%28U.S.%20version%29.pdf" \t "_new"</w:instrText>
      </w:r>
      <w:r>
        <w:fldChar w:fldCharType="separate"/>
      </w:r>
      <w:r w:rsidRPr="00052980">
        <w:rPr>
          <w:rStyle w:val="Hipervnculo"/>
          <w:lang w:val="en-GB"/>
        </w:rPr>
        <w:t>https://practicegreenhealth.org/sites/default/files/2020-07/Sustainable%20procurement%20guide%20%28U.S.%20version%29.pdf</w:t>
      </w:r>
      <w:r>
        <w:fldChar w:fldCharType="end"/>
      </w:r>
    </w:p>
    <w:p w14:paraId="155D8793" w14:textId="77777777" w:rsidR="00052980" w:rsidRPr="00052980" w:rsidRDefault="00052980" w:rsidP="00052980">
      <w:pPr>
        <w:jc w:val="both"/>
      </w:pPr>
      <w:r w:rsidRPr="00052980">
        <w:t xml:space="preserve">Segura Benedicto, A., &amp; Giner Ruiz, V. (2013). Uso inapropiado de los recursos sanitarios y la trivialización de la medicina. </w:t>
      </w:r>
      <w:r w:rsidRPr="00052980">
        <w:rPr>
          <w:i/>
          <w:iCs/>
        </w:rPr>
        <w:t>Atención Primaria, 45</w:t>
      </w:r>
      <w:r w:rsidRPr="00052980">
        <w:t xml:space="preserve">(5), 274–277. </w:t>
      </w:r>
      <w:hyperlink r:id="rId11" w:tgtFrame="_new" w:history="1">
        <w:r w:rsidRPr="00052980">
          <w:rPr>
            <w:rStyle w:val="Hipervnculo"/>
          </w:rPr>
          <w:t>https://pmc.ncbi.nlm.nih.gov/articles/PMC6985526/</w:t>
        </w:r>
      </w:hyperlink>
    </w:p>
    <w:p w14:paraId="4026DA2F" w14:textId="77777777" w:rsidR="00052980" w:rsidRDefault="00052980" w:rsidP="00052980">
      <w:pPr>
        <w:jc w:val="both"/>
      </w:pPr>
      <w:r w:rsidRPr="00052980">
        <w:t xml:space="preserve">Herráiz Ruiz, O., &amp; Pinós Falcón, M. I. (2024). Uso responsable de recursos y servicios sanitarios. </w:t>
      </w:r>
      <w:proofErr w:type="spellStart"/>
      <w:r w:rsidRPr="00052980">
        <w:rPr>
          <w:i/>
          <w:iCs/>
        </w:rPr>
        <w:t>Ocronos</w:t>
      </w:r>
      <w:proofErr w:type="spellEnd"/>
      <w:r w:rsidRPr="00052980">
        <w:rPr>
          <w:i/>
          <w:iCs/>
        </w:rPr>
        <w:t>: Revista Médica, 7</w:t>
      </w:r>
      <w:r w:rsidRPr="00052980">
        <w:t xml:space="preserve">(8), 848. </w:t>
      </w:r>
      <w:hyperlink r:id="rId12" w:tgtFrame="_new" w:history="1">
        <w:r w:rsidRPr="00052980">
          <w:rPr>
            <w:rStyle w:val="Hipervnculo"/>
          </w:rPr>
          <w:t>https://revistamedica.com/uso-responsable-recursos-servicios-sanitarios/</w:t>
        </w:r>
      </w:hyperlink>
    </w:p>
    <w:p w14:paraId="46A9E9D8" w14:textId="77777777" w:rsidR="00613BFB" w:rsidRDefault="00613BFB" w:rsidP="00052980">
      <w:pPr>
        <w:jc w:val="both"/>
      </w:pPr>
    </w:p>
    <w:p w14:paraId="76599950" w14:textId="77777777" w:rsidR="00613BFB" w:rsidRDefault="00613BFB" w:rsidP="00052980">
      <w:pPr>
        <w:jc w:val="both"/>
      </w:pPr>
    </w:p>
    <w:p w14:paraId="2CA3ACEF" w14:textId="77777777" w:rsidR="00613BFB" w:rsidRPr="00613BFB" w:rsidRDefault="00613BFB" w:rsidP="00613BFB">
      <w:pPr>
        <w:jc w:val="both"/>
        <w:rPr>
          <w:b/>
          <w:bCs/>
        </w:rPr>
      </w:pPr>
      <w:r w:rsidRPr="00613BFB">
        <w:rPr>
          <w:b/>
          <w:bCs/>
        </w:rPr>
        <w:lastRenderedPageBreak/>
        <w:t>Impacto del desgaste profesional del personal sanitario y no sanitario</w:t>
      </w:r>
    </w:p>
    <w:p w14:paraId="1E2E10B6" w14:textId="77777777" w:rsidR="00613BFB" w:rsidRPr="00613BFB" w:rsidRDefault="00613BFB" w:rsidP="00613BFB">
      <w:pPr>
        <w:jc w:val="both"/>
        <w:rPr>
          <w:b/>
          <w:bCs/>
        </w:rPr>
      </w:pPr>
      <w:r w:rsidRPr="00613BFB">
        <w:rPr>
          <w:b/>
          <w:bCs/>
        </w:rPr>
        <w:t>1. Introducción</w:t>
      </w:r>
    </w:p>
    <w:p w14:paraId="6843DF52" w14:textId="77777777" w:rsidR="00613BFB" w:rsidRPr="00613BFB" w:rsidRDefault="00613BFB" w:rsidP="00613BFB">
      <w:pPr>
        <w:jc w:val="both"/>
      </w:pPr>
      <w:r w:rsidRPr="00613BFB">
        <w:t>El desgaste profesional asociado al entorno sanitario constituye un fenómeno cada vez más relevante debido a las elevadas exigencias asistenciales, la presión continuada y la complejidad organizativa de los centros hospitalarios. Este fenómeno afecta tanto al personal sanitario como al no sanitario, ya que todos forman parte de un sistema interdependiente que funciona como una cadena asistencial.</w:t>
      </w:r>
    </w:p>
    <w:p w14:paraId="0EDB3864" w14:textId="77777777" w:rsidR="00613BFB" w:rsidRPr="00613BFB" w:rsidRDefault="00613BFB" w:rsidP="00613BFB">
      <w:pPr>
        <w:jc w:val="both"/>
      </w:pPr>
      <w:r w:rsidRPr="00613BFB">
        <w:t>La Organización Mundial de la Salud (OMS) define el burnout como un fenómeno ocupacional derivado del estrés crónico no gestionado, caracterizado por agotamiento emocional, distanciamiento mental del trabajo y reducción del rendimiento profesional.</w:t>
      </w:r>
    </w:p>
    <w:p w14:paraId="0B0F0183" w14:textId="77777777" w:rsidR="00613BFB" w:rsidRPr="00613BFB" w:rsidRDefault="00613BFB" w:rsidP="00613BFB">
      <w:pPr>
        <w:jc w:val="both"/>
      </w:pPr>
      <w:r w:rsidRPr="00613BFB">
        <w:t>En el ámbito hospitalario, este desgaste no puede analizarse de forma individual, sino desde una perspectiva organizacional en la que intervienen múltiples categorías profesionales: médicos, enfermería, TCAE, celadores, personal administrativo, cocina, limpieza, lavandería, seguridad y mantenimiento. Todos ellos influyen de manera directa o indirecta en la calidad del proceso asistencial.</w:t>
      </w:r>
    </w:p>
    <w:p w14:paraId="59B9C65F" w14:textId="77777777" w:rsidR="00613BFB" w:rsidRPr="00613BFB" w:rsidRDefault="00613BFB" w:rsidP="00613BFB">
      <w:pPr>
        <w:jc w:val="both"/>
      </w:pPr>
      <w:r w:rsidRPr="00613BFB">
        <w:t>Por tanto, el estudio del burnout resulta esencial no solo para proteger la salud del trabajador, sino también para garantizar la seguridad del paciente y la eficiencia del sistema sanitario.</w:t>
      </w:r>
    </w:p>
    <w:p w14:paraId="46FC04CD" w14:textId="77777777" w:rsidR="00613BFB" w:rsidRPr="00613BFB" w:rsidRDefault="00613BFB" w:rsidP="00613BFB">
      <w:pPr>
        <w:jc w:val="both"/>
      </w:pPr>
    </w:p>
    <w:p w14:paraId="4D510197" w14:textId="77777777" w:rsidR="00613BFB" w:rsidRPr="00613BFB" w:rsidRDefault="00613BFB" w:rsidP="00613BFB">
      <w:pPr>
        <w:jc w:val="both"/>
        <w:rPr>
          <w:b/>
          <w:bCs/>
        </w:rPr>
      </w:pPr>
      <w:r w:rsidRPr="00613BFB">
        <w:rPr>
          <w:b/>
          <w:bCs/>
        </w:rPr>
        <w:t>2. Metodología</w:t>
      </w:r>
    </w:p>
    <w:p w14:paraId="37B6E4E2" w14:textId="77777777" w:rsidR="00613BFB" w:rsidRPr="00613BFB" w:rsidRDefault="00613BFB" w:rsidP="00613BFB">
      <w:pPr>
        <w:jc w:val="both"/>
      </w:pPr>
      <w:r w:rsidRPr="00613BFB">
        <w:t>Se ha realizado una revisión bibliográfica narrativa basada en literatura científica nacional e internacional, incluyendo bases de datos como PubMed, Scielo y Google Académico, así como informes de la Organización Mundial de la Salud (OMS), la Agencia Europea para la Seguridad y Salud en el Trabajo (EU-OSHA) y el Instituto Nacional de Seguridad y Salud en el Trabajo (INSST).</w:t>
      </w:r>
    </w:p>
    <w:p w14:paraId="7E778292" w14:textId="77777777" w:rsidR="00613BFB" w:rsidRPr="00613BFB" w:rsidRDefault="00613BFB" w:rsidP="00613BFB">
      <w:pPr>
        <w:jc w:val="both"/>
      </w:pPr>
      <w:r w:rsidRPr="00613BFB">
        <w:t>Se seleccionaron estudios relacionados con el síndrome de burnout en el entorno sanitario, tanto en personal clínico como no clínico, con especial atención a su impacto organizativo y asistencial.</w:t>
      </w:r>
    </w:p>
    <w:p w14:paraId="49D91E63" w14:textId="77777777" w:rsidR="00613BFB" w:rsidRPr="00613BFB" w:rsidRDefault="00613BFB" w:rsidP="00613BFB">
      <w:pPr>
        <w:jc w:val="both"/>
      </w:pPr>
    </w:p>
    <w:p w14:paraId="296FA5D7" w14:textId="77777777" w:rsidR="00613BFB" w:rsidRPr="00613BFB" w:rsidRDefault="00613BFB" w:rsidP="00613BFB">
      <w:pPr>
        <w:jc w:val="both"/>
      </w:pPr>
      <w:r w:rsidRPr="00613BFB">
        <w:t>Los criterios de análisis incluyeron:</w:t>
      </w:r>
    </w:p>
    <w:p w14:paraId="3B39F5D5" w14:textId="77777777" w:rsidR="00613BFB" w:rsidRPr="00613BFB" w:rsidRDefault="00613BFB" w:rsidP="00613BFB">
      <w:pPr>
        <w:numPr>
          <w:ilvl w:val="0"/>
          <w:numId w:val="48"/>
        </w:numPr>
        <w:jc w:val="both"/>
      </w:pPr>
      <w:r w:rsidRPr="00613BFB">
        <w:t>Prevalencia del burnout en diferentes categorías profesionales</w:t>
      </w:r>
    </w:p>
    <w:p w14:paraId="3998C638" w14:textId="77777777" w:rsidR="00613BFB" w:rsidRPr="00613BFB" w:rsidRDefault="00613BFB" w:rsidP="00613BFB">
      <w:pPr>
        <w:numPr>
          <w:ilvl w:val="0"/>
          <w:numId w:val="48"/>
        </w:numPr>
        <w:jc w:val="both"/>
      </w:pPr>
      <w:r w:rsidRPr="00613BFB">
        <w:t>Factores organizativos y estructurales asociados al desgaste</w:t>
      </w:r>
    </w:p>
    <w:p w14:paraId="34F92404" w14:textId="77777777" w:rsidR="00613BFB" w:rsidRPr="00613BFB" w:rsidRDefault="00613BFB" w:rsidP="00613BFB">
      <w:pPr>
        <w:numPr>
          <w:ilvl w:val="0"/>
          <w:numId w:val="48"/>
        </w:numPr>
        <w:jc w:val="both"/>
      </w:pPr>
      <w:r w:rsidRPr="00613BFB">
        <w:lastRenderedPageBreak/>
        <w:t>Consecuencias sobre la calidad asistencial y la seguridad del paciente</w:t>
      </w:r>
    </w:p>
    <w:p w14:paraId="54E786D7" w14:textId="77777777" w:rsidR="00613BFB" w:rsidRPr="00613BFB" w:rsidRDefault="00613BFB" w:rsidP="00613BFB">
      <w:pPr>
        <w:numPr>
          <w:ilvl w:val="0"/>
          <w:numId w:val="48"/>
        </w:numPr>
        <w:jc w:val="both"/>
      </w:pPr>
      <w:r w:rsidRPr="00613BFB">
        <w:t>Relación entre roles profesionales dentro del sistema hospitalario</w:t>
      </w:r>
    </w:p>
    <w:p w14:paraId="512CDAB1" w14:textId="77777777" w:rsidR="00613BFB" w:rsidRPr="00613BFB" w:rsidRDefault="00613BFB" w:rsidP="00613BFB">
      <w:pPr>
        <w:numPr>
          <w:ilvl w:val="0"/>
          <w:numId w:val="48"/>
        </w:numPr>
        <w:jc w:val="both"/>
      </w:pPr>
      <w:r w:rsidRPr="00613BFB">
        <w:t>Estrategias de prevención e intervención</w:t>
      </w:r>
    </w:p>
    <w:p w14:paraId="40CEAA6B" w14:textId="77777777" w:rsidR="00613BFB" w:rsidRPr="00613BFB" w:rsidRDefault="00613BFB" w:rsidP="00613BFB">
      <w:pPr>
        <w:jc w:val="both"/>
      </w:pPr>
      <w:r w:rsidRPr="00613BFB">
        <w:t>El enfoque adoptado fue multidisciplinar, considerando el hospital como un sistema integrado donde todas las categorías profesionales están interrelacionadas.</w:t>
      </w:r>
    </w:p>
    <w:p w14:paraId="536C96D9" w14:textId="77777777" w:rsidR="00613BFB" w:rsidRPr="00613BFB" w:rsidRDefault="00613BFB" w:rsidP="00613BFB">
      <w:pPr>
        <w:jc w:val="both"/>
      </w:pPr>
    </w:p>
    <w:p w14:paraId="07E3E3B8" w14:textId="77777777" w:rsidR="00613BFB" w:rsidRPr="00613BFB" w:rsidRDefault="00613BFB" w:rsidP="00613BFB">
      <w:pPr>
        <w:jc w:val="both"/>
        <w:rPr>
          <w:b/>
          <w:bCs/>
        </w:rPr>
      </w:pPr>
      <w:r w:rsidRPr="00613BFB">
        <w:rPr>
          <w:b/>
          <w:bCs/>
        </w:rPr>
        <w:t>3. Resultados</w:t>
      </w:r>
    </w:p>
    <w:p w14:paraId="4CA3B800" w14:textId="77777777" w:rsidR="00613BFB" w:rsidRPr="00613BFB" w:rsidRDefault="00613BFB" w:rsidP="00613BFB">
      <w:pPr>
        <w:jc w:val="both"/>
      </w:pPr>
      <w:r w:rsidRPr="00613BFB">
        <w:t>El análisis de la literatura evidencia que el síndrome de burnout constituye un problema transversal en el entorno hospitalario, afectando a todas las categorías profesionales sin excepción, tanto sanitarias como no sanitarias. Este fenómeno no se presenta de forma aislada, sino como resultado de la interacción entre factores organizativos, estructurales y relacionales dentro del sistema sanitario.</w:t>
      </w:r>
    </w:p>
    <w:p w14:paraId="3FD6ADA5" w14:textId="77777777" w:rsidR="00613BFB" w:rsidRPr="00613BFB" w:rsidRDefault="00613BFB" w:rsidP="00613BFB">
      <w:pPr>
        <w:jc w:val="both"/>
      </w:pPr>
      <w:r w:rsidRPr="00613BFB">
        <w:t>En el caso del personal médico, el burnout se relaciona principalmente con la alta responsabilidad en la toma de decisiones clínicas, la presión asistencial y la gestión de situaciones críticas. En enfermería, el desgaste se asocia a la continuidad de los cuidados, la sobrecarga asistencial y la gestión emocional del paciente.</w:t>
      </w:r>
    </w:p>
    <w:p w14:paraId="29D05E05" w14:textId="77777777" w:rsidR="00613BFB" w:rsidRPr="00613BFB" w:rsidRDefault="00613BFB" w:rsidP="00613BFB">
      <w:pPr>
        <w:jc w:val="both"/>
      </w:pPr>
      <w:r w:rsidRPr="00613BFB">
        <w:t>El personal TCAE presenta un elevado nivel de desgaste vinculado a la atención directa, el esfuerzo físico y la repetición de tareas básicas esenciales para el bienestar del paciente. Este colectivo suele experimentar una falta de reconocimiento percibido que intensifica el agotamiento emocional.</w:t>
      </w:r>
    </w:p>
    <w:p w14:paraId="39B3BFCE" w14:textId="77777777" w:rsidR="00613BFB" w:rsidRPr="00613BFB" w:rsidRDefault="00613BFB" w:rsidP="00613BFB">
      <w:pPr>
        <w:jc w:val="both"/>
      </w:pPr>
      <w:r w:rsidRPr="00613BFB">
        <w:t>Los celadores constituyen un pilar fundamental en la movilización y traslado de pacientes dentro del hospital. Su desgaste se relaciona con la presión temporal, la urgencia de los traslados y la coordinación constante entre servicios, lo que puede derivar en respuestas más automatizadas o una disminución de la comunicación con el paciente.</w:t>
      </w:r>
    </w:p>
    <w:p w14:paraId="3FD22172" w14:textId="77777777" w:rsidR="00613BFB" w:rsidRPr="00613BFB" w:rsidRDefault="00613BFB" w:rsidP="00613BFB">
      <w:pPr>
        <w:jc w:val="both"/>
      </w:pPr>
      <w:r w:rsidRPr="00613BFB">
        <w:t>En el ámbito no sanitario, el personal administrativo y de admisión sufre estrés derivado de la gestión de flujos de pacientes, la presión del usuario y la carga documental. El personal de cocina hospitalaria se ve afectado por la necesidad de precisión en dietas terapéuticas y la coordinación con unidades clínicas, mientras que limpieza y lavandería soportan una alta presión relacionada con la rotación de espacios y la prevención de infecciones.</w:t>
      </w:r>
    </w:p>
    <w:p w14:paraId="7B59E38F" w14:textId="77777777" w:rsidR="00613BFB" w:rsidRPr="00613BFB" w:rsidRDefault="00613BFB" w:rsidP="00613BFB">
      <w:pPr>
        <w:jc w:val="both"/>
      </w:pPr>
      <w:r w:rsidRPr="00613BFB">
        <w:t>Asimismo, el personal de mantenimiento y seguridad experimenta desgaste asociado a la resolución de incidencias urgentes, la gestión de conflictos y la necesidad de respuesta inmediata ante situaciones imprevistas.</w:t>
      </w:r>
    </w:p>
    <w:p w14:paraId="427BDA4A" w14:textId="77777777" w:rsidR="00613BFB" w:rsidRPr="00613BFB" w:rsidRDefault="00613BFB" w:rsidP="00613BFB">
      <w:pPr>
        <w:jc w:val="both"/>
      </w:pPr>
      <w:r w:rsidRPr="00613BFB">
        <w:lastRenderedPageBreak/>
        <w:t>En conjunto, los resultados muestran que el burnout afecta a toda la estructura hospitalaria como una cadena interdependiente, donde la sobrecarga en un área repercute directamente en el resto del sistema. Este efecto en cascada influye en la calidad asistencial, la comunicación entre profesionales y la seguridad del paciente.</w:t>
      </w:r>
    </w:p>
    <w:p w14:paraId="24720DBE" w14:textId="77777777" w:rsidR="00613BFB" w:rsidRPr="00613BFB" w:rsidRDefault="00613BFB" w:rsidP="00613BFB">
      <w:pPr>
        <w:jc w:val="both"/>
      </w:pPr>
    </w:p>
    <w:p w14:paraId="46860917" w14:textId="77777777" w:rsidR="00613BFB" w:rsidRPr="00613BFB" w:rsidRDefault="00613BFB" w:rsidP="00613BFB">
      <w:pPr>
        <w:jc w:val="both"/>
        <w:rPr>
          <w:b/>
          <w:bCs/>
        </w:rPr>
      </w:pPr>
      <w:r w:rsidRPr="00613BFB">
        <w:rPr>
          <w:b/>
          <w:bCs/>
        </w:rPr>
        <w:t>4. Conclusiones</w:t>
      </w:r>
    </w:p>
    <w:p w14:paraId="1F1793BF" w14:textId="77777777" w:rsidR="00613BFB" w:rsidRPr="00613BFB" w:rsidRDefault="00613BFB" w:rsidP="00613BFB">
      <w:pPr>
        <w:jc w:val="both"/>
      </w:pPr>
      <w:r w:rsidRPr="00613BFB">
        <w:t>El síndrome de burnout debe entenderse como un fenómeno organizacional que afecta de manera global al sistema sanitario, y no como un problema individual de cada profesional.</w:t>
      </w:r>
    </w:p>
    <w:p w14:paraId="668BB870" w14:textId="77777777" w:rsidR="00613BFB" w:rsidRPr="00613BFB" w:rsidRDefault="00613BFB" w:rsidP="00613BFB">
      <w:pPr>
        <w:jc w:val="both"/>
      </w:pPr>
      <w:r w:rsidRPr="00613BFB">
        <w:t>El análisis realizado demuestra que todas las categorías profesionales, tanto sanitarias como no sanitarias, forman parte de una misma cadena asistencial, en la que cualquier alteración repercute en el funcionamiento global del centro hospitalario.</w:t>
      </w:r>
    </w:p>
    <w:p w14:paraId="192F876B" w14:textId="77777777" w:rsidR="00613BFB" w:rsidRPr="00613BFB" w:rsidRDefault="00613BFB" w:rsidP="00613BFB">
      <w:pPr>
        <w:jc w:val="both"/>
      </w:pPr>
      <w:r w:rsidRPr="00613BFB">
        <w:t>La prevención del burnout requiere un enfoque integral basado en la mejora de la organización del trabajo, la adecuada distribución de cargas, el reconocimiento profesional, la comunicación interprofesional y el apoyo institucional.</w:t>
      </w:r>
    </w:p>
    <w:p w14:paraId="4F6AC878" w14:textId="77777777" w:rsidR="00613BFB" w:rsidRPr="00613BFB" w:rsidRDefault="00613BFB" w:rsidP="00613BFB">
      <w:pPr>
        <w:jc w:val="both"/>
      </w:pPr>
      <w:r w:rsidRPr="00613BFB">
        <w:t>En conclusión, abordar el desgaste profesional de manera estructural es esencial para garantizar la salud de los trabajadores, la calidad asistencial y la seguridad del paciente.</w:t>
      </w:r>
    </w:p>
    <w:p w14:paraId="4E999110" w14:textId="77777777" w:rsidR="00613BFB" w:rsidRPr="00613BFB" w:rsidRDefault="00613BFB" w:rsidP="00613BFB">
      <w:pPr>
        <w:jc w:val="both"/>
      </w:pPr>
    </w:p>
    <w:p w14:paraId="745EFB1C" w14:textId="77777777" w:rsidR="00613BFB" w:rsidRPr="00613BFB" w:rsidRDefault="00613BFB" w:rsidP="00613BFB">
      <w:pPr>
        <w:jc w:val="both"/>
      </w:pPr>
    </w:p>
    <w:p w14:paraId="7AD45B60" w14:textId="77777777" w:rsidR="00613BFB" w:rsidRPr="00613BFB" w:rsidRDefault="00613BFB" w:rsidP="00613BFB">
      <w:pPr>
        <w:jc w:val="both"/>
      </w:pPr>
    </w:p>
    <w:p w14:paraId="3FC27BF8" w14:textId="77777777" w:rsidR="00613BFB" w:rsidRPr="00613BFB" w:rsidRDefault="00613BFB" w:rsidP="00613BFB">
      <w:pPr>
        <w:jc w:val="both"/>
        <w:rPr>
          <w:b/>
          <w:bCs/>
          <w:lang w:val="en-GB"/>
        </w:rPr>
      </w:pPr>
      <w:r w:rsidRPr="00613BFB">
        <w:rPr>
          <w:b/>
          <w:bCs/>
          <w:lang w:val="en-GB"/>
        </w:rPr>
        <w:t xml:space="preserve">5. </w:t>
      </w:r>
      <w:proofErr w:type="spellStart"/>
      <w:r w:rsidRPr="00613BFB">
        <w:rPr>
          <w:b/>
          <w:bCs/>
          <w:lang w:val="en-GB"/>
        </w:rPr>
        <w:t>Bibliografía</w:t>
      </w:r>
      <w:proofErr w:type="spellEnd"/>
    </w:p>
    <w:p w14:paraId="231AA9F2" w14:textId="77777777" w:rsidR="00613BFB" w:rsidRPr="00613BFB" w:rsidRDefault="00613BFB" w:rsidP="00613BFB">
      <w:pPr>
        <w:jc w:val="both"/>
      </w:pPr>
      <w:r w:rsidRPr="00613BFB">
        <w:rPr>
          <w:lang w:val="en-GB"/>
        </w:rPr>
        <w:t xml:space="preserve">World Health Organization. (2019). </w:t>
      </w:r>
      <w:r w:rsidRPr="00613BFB">
        <w:rPr>
          <w:i/>
          <w:iCs/>
          <w:lang w:val="en-GB"/>
        </w:rPr>
        <w:t>Burn-out an occupational phenomenon: International Classification of Diseases</w:t>
      </w:r>
      <w:r w:rsidRPr="00613BFB">
        <w:rPr>
          <w:lang w:val="en-GB"/>
        </w:rPr>
        <w:t xml:space="preserve">. </w:t>
      </w:r>
      <w:r>
        <w:fldChar w:fldCharType="begin"/>
      </w:r>
      <w:r w:rsidRPr="00226AFD">
        <w:rPr>
          <w:lang w:val="en-GB"/>
        </w:rPr>
        <w:instrText>HYPERLINK "https://www.who.int/standards/classifications/frequently-asked-questions/burn-out-an-occupational-phenomenon" \t "_new"</w:instrText>
      </w:r>
      <w:r>
        <w:fldChar w:fldCharType="separate"/>
      </w:r>
      <w:r w:rsidRPr="00613BFB">
        <w:rPr>
          <w:rStyle w:val="Hipervnculo"/>
        </w:rPr>
        <w:t>https://www.who.int/standards/classifications/frequently-asked-questions/burn-out-an-occupational-phenomenon</w:t>
      </w:r>
      <w:r>
        <w:fldChar w:fldCharType="end"/>
      </w:r>
    </w:p>
    <w:p w14:paraId="50F65C04" w14:textId="77777777" w:rsidR="00613BFB" w:rsidRPr="00613BFB" w:rsidRDefault="00613BFB" w:rsidP="00613BFB">
      <w:pPr>
        <w:jc w:val="both"/>
        <w:rPr>
          <w:lang w:val="en-GB"/>
        </w:rPr>
      </w:pPr>
      <w:r w:rsidRPr="00613BFB">
        <w:rPr>
          <w:lang w:val="en-GB"/>
        </w:rPr>
        <w:t xml:space="preserve">Freudenberger, H. J. (1974). Staff burnout. Journal of Social Issues, 30(1), 159–165. </w:t>
      </w:r>
      <w:r>
        <w:fldChar w:fldCharType="begin"/>
      </w:r>
      <w:r w:rsidRPr="00226AFD">
        <w:rPr>
          <w:lang w:val="en-GB"/>
        </w:rPr>
        <w:instrText>HYPERLINK "https://doi.org/10.1111/j.1540-4560.1974.tb00706.x"</w:instrText>
      </w:r>
      <w:r>
        <w:fldChar w:fldCharType="separate"/>
      </w:r>
      <w:r w:rsidRPr="00613BFB">
        <w:rPr>
          <w:rStyle w:val="Hipervnculo"/>
          <w:lang w:val="en-GB"/>
        </w:rPr>
        <w:t>https://doi.org/10.1111/j.1540-4560.1974.tb00706.x</w:t>
      </w:r>
      <w:r>
        <w:fldChar w:fldCharType="end"/>
      </w:r>
    </w:p>
    <w:p w14:paraId="1634DAA6" w14:textId="77777777" w:rsidR="00613BFB" w:rsidRPr="00613BFB" w:rsidRDefault="00613BFB" w:rsidP="00613BFB">
      <w:pPr>
        <w:jc w:val="both"/>
      </w:pPr>
      <w:r w:rsidRPr="00613BFB">
        <w:rPr>
          <w:lang w:val="en-GB"/>
        </w:rPr>
        <w:t xml:space="preserve">EU-OSHA. (s. f.). Work-related stress and psychosocial risks. </w:t>
      </w:r>
      <w:r>
        <w:fldChar w:fldCharType="begin"/>
      </w:r>
      <w:r w:rsidRPr="00226AFD">
        <w:rPr>
          <w:lang w:val="en-GB"/>
        </w:rPr>
        <w:instrText>HYPERLINK "https://osha.europa.eu/en/themes/psychosocial-risks-and-stress"</w:instrText>
      </w:r>
      <w:r>
        <w:fldChar w:fldCharType="separate"/>
      </w:r>
      <w:r w:rsidRPr="00613BFB">
        <w:rPr>
          <w:rStyle w:val="Hipervnculo"/>
        </w:rPr>
        <w:t>https://osha.europa.eu/en/themes/psychosocial-risks-and-stress</w:t>
      </w:r>
      <w:r>
        <w:fldChar w:fldCharType="end"/>
      </w:r>
    </w:p>
    <w:p w14:paraId="04B4D9F1" w14:textId="77777777" w:rsidR="00613BFB" w:rsidRPr="00613BFB" w:rsidRDefault="00613BFB" w:rsidP="00613BFB">
      <w:pPr>
        <w:jc w:val="both"/>
      </w:pPr>
      <w:r w:rsidRPr="00613BFB">
        <w:t xml:space="preserve">INSST. (s. f.). Estrés laboral y riesgos psicosociales. </w:t>
      </w:r>
      <w:hyperlink r:id="rId13" w:history="1">
        <w:r w:rsidRPr="00613BFB">
          <w:rPr>
            <w:rStyle w:val="Hipervnculo"/>
          </w:rPr>
          <w:t>https://www.insst.es</w:t>
        </w:r>
      </w:hyperlink>
    </w:p>
    <w:p w14:paraId="2919988B" w14:textId="77777777" w:rsidR="00613BFB" w:rsidRPr="00613BFB" w:rsidRDefault="00613BFB" w:rsidP="00613BFB">
      <w:pPr>
        <w:jc w:val="both"/>
      </w:pPr>
      <w:r w:rsidRPr="00613BFB">
        <w:lastRenderedPageBreak/>
        <w:t xml:space="preserve">Ministerio de Sanidad. (s. f.). Salud laboral en el Sistema Nacional de Salud. </w:t>
      </w:r>
      <w:hyperlink r:id="rId14" w:history="1">
        <w:r w:rsidRPr="00613BFB">
          <w:rPr>
            <w:rStyle w:val="Hipervnculo"/>
          </w:rPr>
          <w:t>https://www.sanidad.gob.es</w:t>
        </w:r>
      </w:hyperlink>
    </w:p>
    <w:p w14:paraId="55FDC37E" w14:textId="77777777" w:rsidR="00613BFB" w:rsidRPr="00613BFB" w:rsidRDefault="00613BFB" w:rsidP="00613BFB">
      <w:pPr>
        <w:jc w:val="both"/>
      </w:pPr>
    </w:p>
    <w:p w14:paraId="62128BEE" w14:textId="77777777" w:rsidR="00613BFB" w:rsidRPr="00052980" w:rsidRDefault="00613BFB" w:rsidP="00052980">
      <w:pPr>
        <w:jc w:val="both"/>
      </w:pPr>
    </w:p>
    <w:p w14:paraId="2D8D175D" w14:textId="77777777" w:rsidR="00052980" w:rsidRPr="00052980" w:rsidRDefault="00052980" w:rsidP="00052980">
      <w:pPr>
        <w:jc w:val="both"/>
      </w:pPr>
    </w:p>
    <w:p w14:paraId="628F08F6" w14:textId="77777777" w:rsidR="00982C5C" w:rsidRDefault="00982C5C" w:rsidP="00CE24EF">
      <w:pPr>
        <w:jc w:val="both"/>
      </w:pPr>
    </w:p>
    <w:p w14:paraId="77BF66DC" w14:textId="77777777" w:rsidR="00FD70EB" w:rsidRDefault="00FD70EB" w:rsidP="00CE24EF">
      <w:pPr>
        <w:jc w:val="both"/>
      </w:pPr>
    </w:p>
    <w:p w14:paraId="3A43D5B8" w14:textId="77777777" w:rsidR="00FD70EB" w:rsidRDefault="00FD70EB" w:rsidP="00CE24EF">
      <w:pPr>
        <w:jc w:val="both"/>
      </w:pPr>
    </w:p>
    <w:p w14:paraId="3605B3E5" w14:textId="77777777" w:rsidR="00FD70EB" w:rsidRDefault="00FD70EB" w:rsidP="00CE24EF">
      <w:pPr>
        <w:jc w:val="both"/>
      </w:pPr>
    </w:p>
    <w:p w14:paraId="281F0F7C" w14:textId="77777777" w:rsidR="00FD70EB" w:rsidRDefault="00FD70EB" w:rsidP="00CE24EF">
      <w:pPr>
        <w:jc w:val="both"/>
      </w:pPr>
    </w:p>
    <w:p w14:paraId="3DE54456" w14:textId="77777777" w:rsidR="00FD70EB" w:rsidRDefault="00FD70EB" w:rsidP="00CE24EF">
      <w:pPr>
        <w:jc w:val="both"/>
      </w:pPr>
    </w:p>
    <w:p w14:paraId="5F435210" w14:textId="77777777" w:rsidR="00FD70EB" w:rsidRDefault="00FD70EB" w:rsidP="00CE24EF">
      <w:pPr>
        <w:jc w:val="both"/>
      </w:pPr>
    </w:p>
    <w:p w14:paraId="65460599" w14:textId="77777777" w:rsidR="00FD70EB" w:rsidRDefault="00FD70EB" w:rsidP="00CE24EF">
      <w:pPr>
        <w:jc w:val="both"/>
      </w:pPr>
    </w:p>
    <w:p w14:paraId="3B47EB41" w14:textId="77777777" w:rsidR="00FD70EB" w:rsidRDefault="00FD70EB" w:rsidP="00CE24EF">
      <w:pPr>
        <w:jc w:val="both"/>
      </w:pPr>
    </w:p>
    <w:p w14:paraId="46182D49" w14:textId="77777777" w:rsidR="00FD70EB" w:rsidRDefault="00FD70EB" w:rsidP="00CE24EF">
      <w:pPr>
        <w:jc w:val="both"/>
      </w:pPr>
    </w:p>
    <w:p w14:paraId="713FA2F6" w14:textId="77777777" w:rsidR="00FD70EB" w:rsidRDefault="00FD70EB" w:rsidP="00CE24EF">
      <w:pPr>
        <w:jc w:val="both"/>
      </w:pPr>
    </w:p>
    <w:p w14:paraId="23487446" w14:textId="77777777" w:rsidR="00FD70EB" w:rsidRDefault="00FD70EB" w:rsidP="00CE24EF">
      <w:pPr>
        <w:jc w:val="both"/>
      </w:pPr>
    </w:p>
    <w:p w14:paraId="22BBA903" w14:textId="77777777" w:rsidR="00FD70EB" w:rsidRDefault="00FD70EB" w:rsidP="00CE24EF">
      <w:pPr>
        <w:jc w:val="both"/>
      </w:pPr>
    </w:p>
    <w:p w14:paraId="4FEE2EB1" w14:textId="77777777" w:rsidR="00FD70EB" w:rsidRDefault="00FD70EB" w:rsidP="00CE24EF">
      <w:pPr>
        <w:jc w:val="both"/>
      </w:pPr>
    </w:p>
    <w:p w14:paraId="40162C88" w14:textId="77777777" w:rsidR="00FD70EB" w:rsidRDefault="00FD70EB" w:rsidP="00CE24EF">
      <w:pPr>
        <w:jc w:val="both"/>
      </w:pPr>
    </w:p>
    <w:p w14:paraId="6668193B" w14:textId="77777777" w:rsidR="00FD70EB" w:rsidRDefault="00FD70EB" w:rsidP="00CE24EF">
      <w:pPr>
        <w:jc w:val="both"/>
      </w:pPr>
    </w:p>
    <w:p w14:paraId="190C7C71" w14:textId="77777777" w:rsidR="00FD70EB" w:rsidRDefault="00FD70EB" w:rsidP="00CE24EF">
      <w:pPr>
        <w:jc w:val="both"/>
      </w:pPr>
    </w:p>
    <w:p w14:paraId="42E2705A" w14:textId="77777777" w:rsidR="00FD70EB" w:rsidRDefault="00FD70EB" w:rsidP="00CE24EF">
      <w:pPr>
        <w:jc w:val="both"/>
      </w:pPr>
    </w:p>
    <w:p w14:paraId="1B699908" w14:textId="77777777" w:rsidR="00FD70EB" w:rsidRDefault="00FD70EB" w:rsidP="00CE24EF">
      <w:pPr>
        <w:jc w:val="both"/>
      </w:pPr>
    </w:p>
    <w:p w14:paraId="2599C8B4" w14:textId="77777777" w:rsidR="00FD70EB" w:rsidRDefault="00FD70EB" w:rsidP="00CE24EF">
      <w:pPr>
        <w:jc w:val="both"/>
      </w:pPr>
    </w:p>
    <w:p w14:paraId="23321290" w14:textId="77777777" w:rsidR="00FD70EB" w:rsidRDefault="00FD70EB" w:rsidP="00CE24EF">
      <w:pPr>
        <w:jc w:val="both"/>
      </w:pPr>
    </w:p>
    <w:p w14:paraId="17E2201B" w14:textId="77777777" w:rsidR="00FD70EB" w:rsidRDefault="00FD70EB" w:rsidP="00CE24EF">
      <w:pPr>
        <w:jc w:val="both"/>
      </w:pPr>
    </w:p>
    <w:p w14:paraId="7F6A3CE9" w14:textId="77777777" w:rsidR="00FD70EB" w:rsidRDefault="00FD70EB" w:rsidP="00CE24EF">
      <w:pPr>
        <w:jc w:val="both"/>
      </w:pPr>
    </w:p>
    <w:p w14:paraId="26C9718A" w14:textId="77777777" w:rsidR="00FD70EB" w:rsidRPr="00FD70EB" w:rsidRDefault="00FD70EB" w:rsidP="00FD70EB">
      <w:pPr>
        <w:jc w:val="both"/>
        <w:rPr>
          <w:b/>
          <w:bCs/>
        </w:rPr>
      </w:pPr>
      <w:r w:rsidRPr="00FD70EB">
        <w:rPr>
          <w:b/>
          <w:bCs/>
        </w:rPr>
        <w:lastRenderedPageBreak/>
        <w:t>Perspectiva de género y trato igualitario por parte del personal sanitario y no sanitario</w:t>
      </w:r>
    </w:p>
    <w:p w14:paraId="19159054" w14:textId="77777777" w:rsidR="00FD70EB" w:rsidRPr="00FD70EB" w:rsidRDefault="00FD70EB" w:rsidP="00FD70EB">
      <w:pPr>
        <w:jc w:val="both"/>
        <w:rPr>
          <w:b/>
          <w:bCs/>
        </w:rPr>
      </w:pPr>
      <w:r w:rsidRPr="00FD70EB">
        <w:rPr>
          <w:b/>
          <w:bCs/>
        </w:rPr>
        <w:t>1. Introducción</w:t>
      </w:r>
    </w:p>
    <w:p w14:paraId="6B4EAE25" w14:textId="77777777" w:rsidR="00FD70EB" w:rsidRPr="00FD70EB" w:rsidRDefault="00FD70EB" w:rsidP="00FD70EB">
      <w:pPr>
        <w:jc w:val="both"/>
      </w:pPr>
      <w:r w:rsidRPr="00FD70EB">
        <w:t>La equidad en el entorno sanitario constituye un principio fundamental para garantizar una atención de calidad, justa y libre de discriminación. En los centros sanitarios, este concepto no se limita únicamente a la asistencia clínica, sino que se extiende a todas las interacciones que se producen entre profesionales, pacientes y familiares dentro del sistema.</w:t>
      </w:r>
    </w:p>
    <w:p w14:paraId="447BB428" w14:textId="77777777" w:rsidR="00FD70EB" w:rsidRPr="00FD70EB" w:rsidRDefault="00FD70EB" w:rsidP="00FD70EB">
      <w:pPr>
        <w:jc w:val="both"/>
      </w:pPr>
      <w:r w:rsidRPr="00FD70EB">
        <w:t>El hospital debe entenderse como un entorno multidisciplinar en el que conviven profesionales sanitarios y no sanitarios —médicos, enfermería, TCAE, celadores, personal administrativo, cocina, limpieza, lencería, seguridad o telefonía— que forman parte de una misma estructura organizativa. Todos ellos contribuyen de forma directa o indirecta al proceso asistencial y a la experiencia global del usuario.</w:t>
      </w:r>
    </w:p>
    <w:p w14:paraId="58BB3FF7" w14:textId="77777777" w:rsidR="00FD70EB" w:rsidRPr="00FD70EB" w:rsidRDefault="00FD70EB" w:rsidP="00FD70EB">
      <w:pPr>
        <w:jc w:val="both"/>
      </w:pPr>
      <w:r w:rsidRPr="00FD70EB">
        <w:t>Desde esta perspectiva, la equidad no es solo un valor ético, sino un elemento organizativo que influye en la cohesión del equipo, la comunicación interna y la calidad del servicio. Su aplicación diaria favorece un entorno más respetuoso, reduce conflictos y mejora la eficiencia del trabajo conjunto.</w:t>
      </w:r>
    </w:p>
    <w:p w14:paraId="2291D3FA" w14:textId="77777777" w:rsidR="00FD70EB" w:rsidRPr="00FD70EB" w:rsidRDefault="00FD70EB" w:rsidP="00FD70EB">
      <w:pPr>
        <w:jc w:val="both"/>
      </w:pPr>
    </w:p>
    <w:p w14:paraId="4F7DF137" w14:textId="77777777" w:rsidR="00FD70EB" w:rsidRPr="00FD70EB" w:rsidRDefault="00FD70EB" w:rsidP="00FD70EB">
      <w:pPr>
        <w:jc w:val="both"/>
        <w:rPr>
          <w:b/>
          <w:bCs/>
        </w:rPr>
      </w:pPr>
      <w:r w:rsidRPr="00FD70EB">
        <w:rPr>
          <w:b/>
          <w:bCs/>
        </w:rPr>
        <w:t>2. Metodología</w:t>
      </w:r>
    </w:p>
    <w:p w14:paraId="2D9BAB31" w14:textId="77777777" w:rsidR="00FD70EB" w:rsidRPr="00FD70EB" w:rsidRDefault="00FD70EB" w:rsidP="00FD70EB">
      <w:pPr>
        <w:jc w:val="both"/>
      </w:pPr>
      <w:r w:rsidRPr="00FD70EB">
        <w:t>Se ha realizado una revisión bibliográfica de carácter descriptivo y analítico basada en fuentes científicas nacionales e internacionales, así como en documentos institucionales de organismos como la Organización Mundial de la Salud (OMS), la Organización Panamericana de la Salud (OPS) y el Ministerio de Sanidad.</w:t>
      </w:r>
    </w:p>
    <w:p w14:paraId="480332F8" w14:textId="77777777" w:rsidR="00FD70EB" w:rsidRPr="00FD70EB" w:rsidRDefault="00FD70EB" w:rsidP="00FD70EB">
      <w:pPr>
        <w:jc w:val="both"/>
      </w:pPr>
      <w:r w:rsidRPr="00FD70EB">
        <w:t>La búsqueda se centró en términos como “igualdad de género en salud”, “equidad en equipos sanitarios”, “trato en entornos hospitalarios” y “personal sanitario y no sanitario”. Se seleccionaron publicaciones recientes, guías de buenas prácticas y estudios relacionados con la organización de equipos multidisciplinares.</w:t>
      </w:r>
    </w:p>
    <w:p w14:paraId="3DC72877" w14:textId="77777777" w:rsidR="00FD70EB" w:rsidRPr="00FD70EB" w:rsidRDefault="00FD70EB" w:rsidP="00FD70EB">
      <w:pPr>
        <w:jc w:val="both"/>
      </w:pPr>
      <w:r w:rsidRPr="00FD70EB">
        <w:t>El análisis se estructuró en tres dimensiones principales:</w:t>
      </w:r>
    </w:p>
    <w:p w14:paraId="1C6824F0" w14:textId="77777777" w:rsidR="00FD70EB" w:rsidRPr="00FD70EB" w:rsidRDefault="00FD70EB" w:rsidP="00FD70EB">
      <w:pPr>
        <w:numPr>
          <w:ilvl w:val="0"/>
          <w:numId w:val="49"/>
        </w:numPr>
        <w:jc w:val="both"/>
      </w:pPr>
      <w:r w:rsidRPr="00FD70EB">
        <w:t xml:space="preserve">Aplicación del principio de equidad en el entorno sanitario. </w:t>
      </w:r>
    </w:p>
    <w:p w14:paraId="625DDE82" w14:textId="77777777" w:rsidR="00FD70EB" w:rsidRPr="00FD70EB" w:rsidRDefault="00FD70EB" w:rsidP="00FD70EB">
      <w:pPr>
        <w:numPr>
          <w:ilvl w:val="0"/>
          <w:numId w:val="49"/>
        </w:numPr>
        <w:jc w:val="both"/>
      </w:pPr>
      <w:r w:rsidRPr="00FD70EB">
        <w:t xml:space="preserve">Influencia del comportamiento profesional en la dinámica de los equipos. </w:t>
      </w:r>
    </w:p>
    <w:p w14:paraId="462DFA77" w14:textId="77777777" w:rsidR="00FD70EB" w:rsidRPr="00FD70EB" w:rsidRDefault="00FD70EB" w:rsidP="00FD70EB">
      <w:pPr>
        <w:numPr>
          <w:ilvl w:val="0"/>
          <w:numId w:val="49"/>
        </w:numPr>
        <w:jc w:val="both"/>
      </w:pPr>
      <w:r w:rsidRPr="00FD70EB">
        <w:t xml:space="preserve">Impacto del trato igualitario en la calidad asistencial y en la organización interna del sistema sanitario. </w:t>
      </w:r>
    </w:p>
    <w:p w14:paraId="6CEE8DE1" w14:textId="77777777" w:rsidR="00FD70EB" w:rsidRPr="00FD70EB" w:rsidRDefault="00FD70EB" w:rsidP="00FD70EB">
      <w:pPr>
        <w:jc w:val="both"/>
      </w:pPr>
    </w:p>
    <w:p w14:paraId="16C5EB19" w14:textId="77777777" w:rsidR="00FD70EB" w:rsidRPr="00FD70EB" w:rsidRDefault="00FD70EB" w:rsidP="00FD70EB">
      <w:pPr>
        <w:jc w:val="both"/>
        <w:rPr>
          <w:b/>
          <w:bCs/>
        </w:rPr>
      </w:pPr>
      <w:r w:rsidRPr="00FD70EB">
        <w:rPr>
          <w:b/>
          <w:bCs/>
        </w:rPr>
        <w:t>3. Resultados</w:t>
      </w:r>
    </w:p>
    <w:p w14:paraId="41D8E963" w14:textId="77777777" w:rsidR="00FD70EB" w:rsidRPr="00FD70EB" w:rsidRDefault="00FD70EB" w:rsidP="00FD70EB">
      <w:pPr>
        <w:jc w:val="both"/>
      </w:pPr>
      <w:r w:rsidRPr="00FD70EB">
        <w:lastRenderedPageBreak/>
        <w:t>Los resultados de la revisión evidencian que la aplicación de la equidad en los centros sanitarios genera efectos positivos tanto a nivel asistencial como organizativo, afectando de manera directa a todos los perfiles profesionales implicados en el sistema.</w:t>
      </w:r>
    </w:p>
    <w:p w14:paraId="397E437F" w14:textId="77777777" w:rsidR="00FD70EB" w:rsidRPr="00FD70EB" w:rsidRDefault="00FD70EB" w:rsidP="00FD70EB">
      <w:pPr>
        <w:jc w:val="both"/>
      </w:pPr>
      <w:r w:rsidRPr="00FD70EB">
        <w:t>En primer lugar, se observa que los usuarios perciben una mayor calidad en la atención cuando existe un trato uniforme, respetuoso y libre de sesgos de género o jerarquía profesional. Este trato equitativo mejora la confianza en el sistema sanitario y facilita la comunicación entre pacientes y profesionales.</w:t>
      </w:r>
    </w:p>
    <w:p w14:paraId="3BF03262" w14:textId="77777777" w:rsidR="00FD70EB" w:rsidRPr="00FD70EB" w:rsidRDefault="00FD70EB" w:rsidP="00FD70EB">
      <w:pPr>
        <w:jc w:val="both"/>
      </w:pPr>
      <w:r w:rsidRPr="00FD70EB">
        <w:t>En segundo lugar, la equidad influye de forma significativa en la dinámica interna de los equipos multidisciplinares. Cuando se promueve un trato justo entre categorías profesionales, se reduce la aparición de conflictos, se mejora la colaboración y se refuerza el sentido de pertenencia al equipo.</w:t>
      </w:r>
    </w:p>
    <w:p w14:paraId="08C9ABE0" w14:textId="77777777" w:rsidR="00FD70EB" w:rsidRPr="00FD70EB" w:rsidRDefault="00FD70EB" w:rsidP="00FD70EB">
      <w:pPr>
        <w:jc w:val="both"/>
      </w:pPr>
      <w:r w:rsidRPr="00FD70EB">
        <w:t>En relación con el personal sanitario y no sanitario, los resultados muestran la importancia de la implicación de todas las categorías en la aplicación del principio de equidad:</w:t>
      </w:r>
    </w:p>
    <w:p w14:paraId="3BD374C9" w14:textId="77777777" w:rsidR="00FD70EB" w:rsidRPr="00FD70EB" w:rsidRDefault="00FD70EB" w:rsidP="00FD70EB">
      <w:pPr>
        <w:numPr>
          <w:ilvl w:val="0"/>
          <w:numId w:val="50"/>
        </w:numPr>
        <w:jc w:val="both"/>
      </w:pPr>
      <w:r w:rsidRPr="00FD70EB">
        <w:t xml:space="preserve">Personal administrativo y telefonía: su papel en la primera atención al usuario requiere un trato homogéneo, evitando sesgos en la comunicación o en la priorización de la información. </w:t>
      </w:r>
    </w:p>
    <w:p w14:paraId="3A3416A4" w14:textId="77777777" w:rsidR="00FD70EB" w:rsidRPr="00FD70EB" w:rsidRDefault="00FD70EB" w:rsidP="00FD70EB">
      <w:pPr>
        <w:numPr>
          <w:ilvl w:val="0"/>
          <w:numId w:val="50"/>
        </w:numPr>
        <w:jc w:val="both"/>
      </w:pPr>
      <w:r w:rsidRPr="00FD70EB">
        <w:t xml:space="preserve">Celadores: la movilización y traslado de pacientes debe realizarse con el mismo nivel de respeto y cuidado, independientemente del género o condición del usuario, garantizando siempre la dignidad del paciente. </w:t>
      </w:r>
    </w:p>
    <w:p w14:paraId="7B556053" w14:textId="77777777" w:rsidR="00FD70EB" w:rsidRPr="00FD70EB" w:rsidRDefault="00FD70EB" w:rsidP="00FD70EB">
      <w:pPr>
        <w:numPr>
          <w:ilvl w:val="0"/>
          <w:numId w:val="50"/>
        </w:numPr>
        <w:jc w:val="both"/>
      </w:pPr>
      <w:r w:rsidRPr="00FD70EB">
        <w:t xml:space="preserve">TCAE y enfermería: su intervención directa en el cuidado exige una atención equitativa en la intimidad, el acompañamiento y la comunicación, evitando estereotipos en la relación asistencial. </w:t>
      </w:r>
    </w:p>
    <w:p w14:paraId="155D4CB0" w14:textId="77777777" w:rsidR="00FD70EB" w:rsidRPr="00FD70EB" w:rsidRDefault="00FD70EB" w:rsidP="00FD70EB">
      <w:pPr>
        <w:numPr>
          <w:ilvl w:val="0"/>
          <w:numId w:val="50"/>
        </w:numPr>
        <w:jc w:val="both"/>
      </w:pPr>
      <w:r w:rsidRPr="00FD70EB">
        <w:t xml:space="preserve">Personal de cocina, limpieza y lencería: aunque su labor no sea clínica, su función es esencial en la seguridad y el bienestar del paciente, por lo que el trato interno dentro del equipo debe ser igualitario y respetuoso. </w:t>
      </w:r>
    </w:p>
    <w:p w14:paraId="3753AB38" w14:textId="77777777" w:rsidR="00FD70EB" w:rsidRPr="00FD70EB" w:rsidRDefault="00FD70EB" w:rsidP="00FD70EB">
      <w:pPr>
        <w:numPr>
          <w:ilvl w:val="0"/>
          <w:numId w:val="50"/>
        </w:numPr>
        <w:jc w:val="both"/>
      </w:pPr>
      <w:r w:rsidRPr="00FD70EB">
        <w:t xml:space="preserve">Personal médico: la transmisión de información clínica debe realizarse de manera equitativa, evitando suposiciones basadas en género o jerarquía familiar en la toma de decisiones. </w:t>
      </w:r>
    </w:p>
    <w:p w14:paraId="1FDC4E6D" w14:textId="77777777" w:rsidR="00FD70EB" w:rsidRPr="00FD70EB" w:rsidRDefault="00FD70EB" w:rsidP="00FD70EB">
      <w:pPr>
        <w:jc w:val="both"/>
      </w:pPr>
      <w:r w:rsidRPr="00FD70EB">
        <w:t>Asimismo, se identifica que la equidad en la distribución de tareas dentro de los equipos reduce la sobrecarga de determinados perfiles y evita asignaciones basadas en estereotipos, como tareas físicas o de cuidados según el género.</w:t>
      </w:r>
    </w:p>
    <w:p w14:paraId="61B95F39" w14:textId="77777777" w:rsidR="00FD70EB" w:rsidRPr="00FD70EB" w:rsidRDefault="00FD70EB" w:rsidP="00FD70EB">
      <w:pPr>
        <w:jc w:val="both"/>
      </w:pPr>
      <w:r w:rsidRPr="00FD70EB">
        <w:t>En conjunto, los resultados reflejan que la equidad no solo tiene un impacto ético, sino también funcional, ya que mejora la coordinación, la comunicación interna y la eficiencia del sistema sanitario.</w:t>
      </w:r>
    </w:p>
    <w:p w14:paraId="1F86ED51" w14:textId="77777777" w:rsidR="00FD70EB" w:rsidRPr="00FD70EB" w:rsidRDefault="00FD70EB" w:rsidP="00FD70EB">
      <w:pPr>
        <w:jc w:val="both"/>
        <w:rPr>
          <w:b/>
          <w:bCs/>
        </w:rPr>
      </w:pPr>
    </w:p>
    <w:p w14:paraId="164B0D93" w14:textId="77777777" w:rsidR="00FD70EB" w:rsidRPr="00FD70EB" w:rsidRDefault="00FD70EB" w:rsidP="00FD70EB">
      <w:pPr>
        <w:jc w:val="both"/>
        <w:rPr>
          <w:b/>
          <w:bCs/>
        </w:rPr>
      </w:pPr>
      <w:r w:rsidRPr="00FD70EB">
        <w:rPr>
          <w:b/>
          <w:bCs/>
        </w:rPr>
        <w:t>4. Conclusiones</w:t>
      </w:r>
    </w:p>
    <w:p w14:paraId="58548F60" w14:textId="77777777" w:rsidR="00FD70EB" w:rsidRPr="00FD70EB" w:rsidRDefault="00FD70EB" w:rsidP="00FD70EB">
      <w:pPr>
        <w:jc w:val="both"/>
      </w:pPr>
      <w:r w:rsidRPr="00FD70EB">
        <w:t>La equidad en los centros sanitarios debe entenderse como un elemento estructural del funcionamiento organizativo y no únicamente como un principio teórico. Su aplicación diaria contribuye a mejorar la calidad asistencial, la cohesión de los equipos y la eficiencia del sistema.</w:t>
      </w:r>
    </w:p>
    <w:p w14:paraId="3F0D40F3" w14:textId="77777777" w:rsidR="00FD70EB" w:rsidRPr="00FD70EB" w:rsidRDefault="00FD70EB" w:rsidP="00FD70EB">
      <w:pPr>
        <w:jc w:val="both"/>
      </w:pPr>
      <w:r w:rsidRPr="00FD70EB">
        <w:t>El análisis realizado demuestra que todos los profesionales, tanto sanitarios como no sanitarios, desempeñan un papel clave en la implementación de prácticas equitativas, siendo fundamentales en la construcción de un entorno laboral respetuoso y funcional.</w:t>
      </w:r>
    </w:p>
    <w:p w14:paraId="7A817367" w14:textId="77777777" w:rsidR="00FD70EB" w:rsidRPr="00FD70EB" w:rsidRDefault="00FD70EB" w:rsidP="00FD70EB">
      <w:pPr>
        <w:jc w:val="both"/>
      </w:pPr>
      <w:r w:rsidRPr="00FD70EB">
        <w:t>La promoción de la equidad favorece la reducción de conflictos, mejora el clima laboral y fortalece el trabajo en equipo en contextos altamente complejos como el hospitalario.</w:t>
      </w:r>
    </w:p>
    <w:p w14:paraId="53354169" w14:textId="77777777" w:rsidR="00FD70EB" w:rsidRPr="00FD70EB" w:rsidRDefault="00FD70EB" w:rsidP="00FD70EB">
      <w:pPr>
        <w:jc w:val="both"/>
      </w:pPr>
      <w:r w:rsidRPr="00FD70EB">
        <w:t>En conclusión, la equidad es un factor determinante para el correcto funcionamiento del sistema sanitario, influyendo directamente en la calidad del servicio y en el bienestar de los profesionales.</w:t>
      </w:r>
    </w:p>
    <w:p w14:paraId="3D1B30E3" w14:textId="77777777" w:rsidR="00FD70EB" w:rsidRPr="00FD70EB" w:rsidRDefault="00FD70EB" w:rsidP="00FD70EB">
      <w:pPr>
        <w:jc w:val="both"/>
        <w:rPr>
          <w:b/>
          <w:bCs/>
        </w:rPr>
      </w:pPr>
    </w:p>
    <w:p w14:paraId="572F42D7" w14:textId="77777777" w:rsidR="00FD70EB" w:rsidRPr="00FD70EB" w:rsidRDefault="00FD70EB" w:rsidP="00FD70EB">
      <w:pPr>
        <w:jc w:val="both"/>
        <w:rPr>
          <w:b/>
          <w:bCs/>
        </w:rPr>
      </w:pPr>
      <w:r w:rsidRPr="00FD70EB">
        <w:rPr>
          <w:b/>
          <w:bCs/>
        </w:rPr>
        <w:t>5. Bibliografía</w:t>
      </w:r>
    </w:p>
    <w:p w14:paraId="4B240BCB" w14:textId="77777777" w:rsidR="00FD70EB" w:rsidRPr="00FD70EB" w:rsidRDefault="00FD70EB" w:rsidP="00FD70EB">
      <w:pPr>
        <w:jc w:val="both"/>
      </w:pPr>
      <w:r w:rsidRPr="00FD70EB">
        <w:t xml:space="preserve">Organización Mundial de la Salud (OMS). (2023). </w:t>
      </w:r>
      <w:r w:rsidRPr="00FD70EB">
        <w:rPr>
          <w:i/>
          <w:iCs/>
        </w:rPr>
        <w:t>Derechos humanos y salud</w:t>
      </w:r>
      <w:r w:rsidRPr="00FD70EB">
        <w:t xml:space="preserve">. </w:t>
      </w:r>
      <w:hyperlink r:id="rId15" w:tgtFrame="_new" w:history="1">
        <w:r w:rsidRPr="00FD70EB">
          <w:rPr>
            <w:rStyle w:val="Hipervnculo"/>
          </w:rPr>
          <w:t>https://www.who.int/es/news-room/fact-sheets/detail/human-rights-and-health</w:t>
        </w:r>
      </w:hyperlink>
      <w:r w:rsidRPr="00FD70EB">
        <w:t xml:space="preserve"> </w:t>
      </w:r>
    </w:p>
    <w:p w14:paraId="40E554D8" w14:textId="77777777" w:rsidR="00FD70EB" w:rsidRPr="00FD70EB" w:rsidRDefault="00FD70EB" w:rsidP="00FD70EB">
      <w:pPr>
        <w:jc w:val="both"/>
      </w:pPr>
      <w:r w:rsidRPr="00FD70EB">
        <w:t xml:space="preserve">Organización Panamericana de la Salud (OPS). (2021). </w:t>
      </w:r>
      <w:r w:rsidRPr="00FD70EB">
        <w:rPr>
          <w:i/>
          <w:iCs/>
        </w:rPr>
        <w:t>Igualdad de género en la atención sanitaria</w:t>
      </w:r>
      <w:r w:rsidRPr="00FD70EB">
        <w:t xml:space="preserve">. </w:t>
      </w:r>
      <w:hyperlink r:id="rId16" w:tgtFrame="_new" w:history="1">
        <w:r w:rsidRPr="00FD70EB">
          <w:rPr>
            <w:rStyle w:val="Hipervnculo"/>
          </w:rPr>
          <w:t>https://www.paho.org/es/temas/igualdad-genero-salud</w:t>
        </w:r>
      </w:hyperlink>
      <w:r w:rsidRPr="00FD70EB">
        <w:t xml:space="preserve"> </w:t>
      </w:r>
    </w:p>
    <w:p w14:paraId="38F4C41A" w14:textId="77777777" w:rsidR="00FD70EB" w:rsidRPr="00FD70EB" w:rsidRDefault="00FD70EB" w:rsidP="00FD70EB">
      <w:pPr>
        <w:jc w:val="both"/>
      </w:pPr>
      <w:r w:rsidRPr="00FD70EB">
        <w:t xml:space="preserve">Naciones Unidas. (1948). </w:t>
      </w:r>
      <w:r w:rsidRPr="00FD70EB">
        <w:rPr>
          <w:i/>
          <w:iCs/>
        </w:rPr>
        <w:t>Declaración Universal de los Derechos Humanos</w:t>
      </w:r>
      <w:r w:rsidRPr="00FD70EB">
        <w:t xml:space="preserve">. </w:t>
      </w:r>
      <w:hyperlink r:id="rId17" w:tgtFrame="_new" w:history="1">
        <w:r w:rsidRPr="00FD70EB">
          <w:rPr>
            <w:rStyle w:val="Hipervnculo"/>
          </w:rPr>
          <w:t>https://www.un.org/en/about-us/universal-declaration-of-human-rights</w:t>
        </w:r>
      </w:hyperlink>
      <w:r w:rsidRPr="00FD70EB">
        <w:t xml:space="preserve"> </w:t>
      </w:r>
    </w:p>
    <w:p w14:paraId="2113E6EC" w14:textId="77777777" w:rsidR="00FD70EB" w:rsidRPr="00FD70EB" w:rsidRDefault="00FD70EB" w:rsidP="00FD70EB">
      <w:pPr>
        <w:jc w:val="both"/>
      </w:pPr>
      <w:r w:rsidRPr="00FD70EB">
        <w:t xml:space="preserve">Ministerio de Sanidad. (2022). </w:t>
      </w:r>
      <w:r w:rsidRPr="00FD70EB">
        <w:rPr>
          <w:i/>
          <w:iCs/>
        </w:rPr>
        <w:t>Informe Salud y Género</w:t>
      </w:r>
      <w:r w:rsidRPr="00FD70EB">
        <w:t xml:space="preserve">. </w:t>
      </w:r>
      <w:hyperlink r:id="rId18" w:tgtFrame="_new" w:history="1">
        <w:r w:rsidRPr="00FD70EB">
          <w:rPr>
            <w:rStyle w:val="Hipervnculo"/>
          </w:rPr>
          <w:t>https://www.sanidad.gob.es</w:t>
        </w:r>
      </w:hyperlink>
      <w:r w:rsidRPr="00FD70EB">
        <w:t xml:space="preserve"> </w:t>
      </w:r>
    </w:p>
    <w:p w14:paraId="138EBE88" w14:textId="77777777" w:rsidR="00FD70EB" w:rsidRPr="00FD70EB" w:rsidRDefault="00FD70EB" w:rsidP="00FD70EB">
      <w:pPr>
        <w:jc w:val="both"/>
      </w:pPr>
    </w:p>
    <w:p w14:paraId="7BE0EB7C" w14:textId="77777777" w:rsidR="00FD70EB" w:rsidRDefault="00FD70EB" w:rsidP="00CE24EF">
      <w:pPr>
        <w:jc w:val="both"/>
      </w:pPr>
    </w:p>
    <w:p w14:paraId="1CEF3805" w14:textId="77777777" w:rsidR="00FD70EB" w:rsidRDefault="00FD70EB" w:rsidP="00CE24EF">
      <w:pPr>
        <w:jc w:val="both"/>
      </w:pPr>
    </w:p>
    <w:p w14:paraId="0CB8D115" w14:textId="77777777" w:rsidR="00FD70EB" w:rsidRDefault="00FD70EB" w:rsidP="00CE24EF">
      <w:pPr>
        <w:jc w:val="both"/>
      </w:pPr>
    </w:p>
    <w:p w14:paraId="28A2A949" w14:textId="77777777" w:rsidR="00FD70EB" w:rsidRDefault="00FD70EB" w:rsidP="00CE24EF">
      <w:pPr>
        <w:jc w:val="both"/>
      </w:pPr>
    </w:p>
    <w:p w14:paraId="0B658594" w14:textId="77777777" w:rsidR="00FD70EB" w:rsidRDefault="00FD70EB" w:rsidP="00CE24EF">
      <w:pPr>
        <w:jc w:val="both"/>
      </w:pPr>
    </w:p>
    <w:p w14:paraId="4578B867" w14:textId="77777777" w:rsidR="00FD70EB" w:rsidRDefault="00FD70EB" w:rsidP="00CE24EF">
      <w:pPr>
        <w:jc w:val="both"/>
      </w:pPr>
    </w:p>
    <w:p w14:paraId="5D55CE5E" w14:textId="77777777" w:rsidR="0048223D" w:rsidRPr="0048223D" w:rsidRDefault="0048223D" w:rsidP="0048223D">
      <w:pPr>
        <w:jc w:val="both"/>
        <w:rPr>
          <w:b/>
          <w:bCs/>
        </w:rPr>
      </w:pPr>
      <w:r w:rsidRPr="0048223D">
        <w:rPr>
          <w:b/>
          <w:bCs/>
        </w:rPr>
        <w:lastRenderedPageBreak/>
        <w:t>La correcta ergonomía como prevención de riesgos por parte del personal sanitario y no sanitario</w:t>
      </w:r>
    </w:p>
    <w:p w14:paraId="3FDACE3B" w14:textId="77777777" w:rsidR="0048223D" w:rsidRPr="0048223D" w:rsidRDefault="0048223D" w:rsidP="0048223D">
      <w:pPr>
        <w:jc w:val="both"/>
        <w:rPr>
          <w:b/>
          <w:bCs/>
        </w:rPr>
      </w:pPr>
    </w:p>
    <w:p w14:paraId="48267E5B" w14:textId="77777777" w:rsidR="0048223D" w:rsidRPr="0048223D" w:rsidRDefault="0048223D" w:rsidP="0048223D">
      <w:pPr>
        <w:jc w:val="both"/>
        <w:rPr>
          <w:b/>
          <w:bCs/>
        </w:rPr>
      </w:pPr>
      <w:r w:rsidRPr="0048223D">
        <w:rPr>
          <w:b/>
          <w:bCs/>
        </w:rPr>
        <w:t>1. Introducción</w:t>
      </w:r>
    </w:p>
    <w:p w14:paraId="07CA497F" w14:textId="77777777" w:rsidR="0048223D" w:rsidRPr="0048223D" w:rsidRDefault="0048223D" w:rsidP="0048223D">
      <w:pPr>
        <w:jc w:val="both"/>
      </w:pPr>
      <w:r w:rsidRPr="0048223D">
        <w:t>El trabajo en los centros sanitarios implica una elevada exigencia física y organizativa que afecta a todos los profesionales, tanto sanitarios como no sanitarios. Las condiciones laborales incluyen posturas mantenidas, movilización de pacientes, manipulación de cargas, uso continuado de pantallas y tareas repetitivas que pueden derivar en lesiones musculoesqueléticas.</w:t>
      </w:r>
    </w:p>
    <w:p w14:paraId="767237D8" w14:textId="77777777" w:rsidR="0048223D" w:rsidRPr="0048223D" w:rsidRDefault="0048223D" w:rsidP="0048223D">
      <w:pPr>
        <w:jc w:val="both"/>
      </w:pPr>
      <w:r w:rsidRPr="0048223D">
        <w:t>La ergonomía se define como la disciplina que adapta el trabajo a la persona con el objetivo de mejorar la seguridad, la eficiencia y el bienestar laboral. En el ámbito sanitario, su aplicación es esencial debido a la diversidad de funciones existentes dentro de los equipos multidisciplinares.</w:t>
      </w:r>
    </w:p>
    <w:p w14:paraId="16D547D7" w14:textId="77777777" w:rsidR="0048223D" w:rsidRPr="0048223D" w:rsidRDefault="0048223D" w:rsidP="0048223D">
      <w:pPr>
        <w:jc w:val="both"/>
      </w:pPr>
      <w:r w:rsidRPr="0048223D">
        <w:t>Este capítulo analiza la importancia de la ergonomía en la prevención de riesgos laborales en diferentes categorías profesionales como médicos, enfermeros, TCAE, celadores, auxiliares administrativos, personal de limpieza, cocina, lencería, planchadores, telefonistas y personal de seguridad, entre otros.</w:t>
      </w:r>
    </w:p>
    <w:p w14:paraId="0F31CC04" w14:textId="77777777" w:rsidR="0048223D" w:rsidRPr="0048223D" w:rsidRDefault="0048223D" w:rsidP="0048223D">
      <w:pPr>
        <w:jc w:val="both"/>
      </w:pPr>
    </w:p>
    <w:p w14:paraId="046C5ED1" w14:textId="77777777" w:rsidR="0048223D" w:rsidRPr="0048223D" w:rsidRDefault="0048223D" w:rsidP="0048223D">
      <w:pPr>
        <w:jc w:val="both"/>
        <w:rPr>
          <w:b/>
          <w:bCs/>
        </w:rPr>
      </w:pPr>
      <w:r w:rsidRPr="0048223D">
        <w:rPr>
          <w:b/>
          <w:bCs/>
        </w:rPr>
        <w:t>2. Metodología</w:t>
      </w:r>
    </w:p>
    <w:p w14:paraId="4C7E3597" w14:textId="77777777" w:rsidR="0048223D" w:rsidRPr="0048223D" w:rsidRDefault="0048223D" w:rsidP="0048223D">
      <w:pPr>
        <w:jc w:val="both"/>
      </w:pPr>
      <w:r w:rsidRPr="0048223D">
        <w:t>Se ha realizado una revisión bibliográfica de tipo narrativa basada en fuentes científicas, guías técnicas y documentos institucionales. Se consultaron bases de datos como PubMed, SciELO y Google Scholar, utilizando términos como “ergonomía sanitaria”, “trastornos musculoesqueléticos”, “posturas de trabajo”, “prevención de riesgos laborales” y “manipulación de pacientes”.</w:t>
      </w:r>
    </w:p>
    <w:p w14:paraId="20DACE81" w14:textId="77777777" w:rsidR="0048223D" w:rsidRPr="0048223D" w:rsidRDefault="0048223D" w:rsidP="0048223D">
      <w:pPr>
        <w:jc w:val="both"/>
      </w:pPr>
      <w:r w:rsidRPr="0048223D">
        <w:t>Se incluyeron documentos de organismos oficiales como el Instituto Nacional de Seguridad y Salud en el Trabajo (INSST), la Organización Mundial de la Salud (OMS) y la Agencia Europea para la Seguridad y la Salud en el Trabajo (EU-OSHA). El análisis se centró en identificar los riesgos ergonómicos específicos de cada categoría profesional y las medidas preventivas más eficaces aplicables en entornos hospitalarios.</w:t>
      </w:r>
    </w:p>
    <w:p w14:paraId="0530ECE1" w14:textId="77777777" w:rsidR="0048223D" w:rsidRPr="0048223D" w:rsidRDefault="0048223D" w:rsidP="0048223D">
      <w:pPr>
        <w:jc w:val="both"/>
      </w:pPr>
    </w:p>
    <w:p w14:paraId="40FC2830" w14:textId="77777777" w:rsidR="0048223D" w:rsidRPr="0048223D" w:rsidRDefault="0048223D" w:rsidP="0048223D">
      <w:pPr>
        <w:jc w:val="both"/>
        <w:rPr>
          <w:b/>
          <w:bCs/>
        </w:rPr>
      </w:pPr>
      <w:r w:rsidRPr="0048223D">
        <w:rPr>
          <w:b/>
          <w:bCs/>
        </w:rPr>
        <w:t>3. Resultados</w:t>
      </w:r>
    </w:p>
    <w:p w14:paraId="249E98F9" w14:textId="77777777" w:rsidR="0048223D" w:rsidRPr="0048223D" w:rsidRDefault="0048223D" w:rsidP="0048223D">
      <w:pPr>
        <w:jc w:val="both"/>
      </w:pPr>
      <w:r w:rsidRPr="0048223D">
        <w:t xml:space="preserve">La literatura revisada evidencia que los trastornos musculoesqueléticos constituyen uno de los principales problemas de salud laboral en el entorno sanitario, afectando de forma transversal a todas las categorías profesionales. </w:t>
      </w:r>
      <w:r w:rsidRPr="0048223D">
        <w:lastRenderedPageBreak/>
        <w:t>Estos trastornos se asocian principalmente a posturas mantenidas, movimientos repetitivos, manipulación de cargas y falta de adaptación del puesto de trabajo.</w:t>
      </w:r>
    </w:p>
    <w:p w14:paraId="735F52A2" w14:textId="77777777" w:rsidR="0048223D" w:rsidRPr="0048223D" w:rsidRDefault="0048223D" w:rsidP="0048223D">
      <w:pPr>
        <w:jc w:val="both"/>
      </w:pPr>
      <w:r w:rsidRPr="0048223D">
        <w:t>En el personal administrativo y telefonista, el uso prolongado de pantallas de visualización de datos se relaciona con dolor cervical, lumbar, fatiga visual y lesiones en muñecas y manos. La ausencia de pausas activas, una mala ergonomía del puesto y la utilización inadecuada del mobiliario incrementan significativamente estos riesgos. La evidencia muestra que la adaptación del puesto mediante sillas ergonómicas, pantallas a la altura visual y pausas programadas reduce de forma notable la sintomatología musculoesquelética.</w:t>
      </w:r>
    </w:p>
    <w:p w14:paraId="2AF20A50" w14:textId="77777777" w:rsidR="0048223D" w:rsidRPr="0048223D" w:rsidRDefault="0048223D" w:rsidP="0048223D">
      <w:pPr>
        <w:jc w:val="both"/>
      </w:pPr>
      <w:r w:rsidRPr="0048223D">
        <w:t>En los celadores y TCAE, la principal fuente de riesgo se encuentra en la movilización y traslado de pacientes. Las técnicas inadecuadas de levantamiento, la falta de ayudas mecánicas y la sobrecarga física provocan lumbalgias, hernias discales y lesiones en hombros. La aplicación de técnicas seguras de movilización, el uso de grúas, sábanas deslizantes y la colaboración entre profesionales son factores protectores clave.</w:t>
      </w:r>
    </w:p>
    <w:p w14:paraId="22826379" w14:textId="77777777" w:rsidR="0048223D" w:rsidRPr="0048223D" w:rsidRDefault="0048223D" w:rsidP="0048223D">
      <w:pPr>
        <w:jc w:val="both"/>
      </w:pPr>
      <w:r w:rsidRPr="0048223D">
        <w:t>El personal de limpieza, lencería y planchadores presenta una elevada exposición a movimientos repetitivos y posturas forzadas, especialmente en tareas de fregado, barrido, clasificación y manipulación de ropa. Estas actividades generan tendinitis, sobrecarga en extremidades superiores y dolor lumbar. La literatura destaca que la rotación de tareas, el uso de utensilios ajustables y la organización adecuada del entorno reducen significativamente el riesgo.</w:t>
      </w:r>
    </w:p>
    <w:p w14:paraId="7F2EEC93" w14:textId="77777777" w:rsidR="0048223D" w:rsidRPr="0048223D" w:rsidRDefault="0048223D" w:rsidP="0048223D">
      <w:pPr>
        <w:jc w:val="both"/>
      </w:pPr>
      <w:r w:rsidRPr="0048223D">
        <w:t>En cocina y servicios de alimentación, pinches y cocineros realizan esfuerzos prolongados en bipedestación, manipulación de cargas pesadas y movimientos repetitivos de corte y preparación. Esto se asocia a fatiga muscular, dolor en extremidades inferiores y lesiones por sobrecarga. Las mejoras ergonómicas incluyen la adaptación de alturas de trabajo, uso de calzado adecuado y organización del flujo de trabajo.</w:t>
      </w:r>
    </w:p>
    <w:p w14:paraId="4636B884" w14:textId="77777777" w:rsidR="0048223D" w:rsidRPr="0048223D" w:rsidRDefault="0048223D" w:rsidP="0048223D">
      <w:pPr>
        <w:jc w:val="both"/>
      </w:pPr>
      <w:r w:rsidRPr="0048223D">
        <w:t>El personal de seguridad también presenta riesgos derivados de la bipedestación prolongada y posibles intervenciones físicas. La alternancia postural, el uso de calzado ergonómico y la formación en técnicas de intervención segura son medidas preventivas relevantes.</w:t>
      </w:r>
    </w:p>
    <w:p w14:paraId="3C517632" w14:textId="77777777" w:rsidR="0048223D" w:rsidRPr="0048223D" w:rsidRDefault="0048223D" w:rsidP="0048223D">
      <w:pPr>
        <w:jc w:val="both"/>
      </w:pPr>
      <w:r w:rsidRPr="0048223D">
        <w:t>En el caso del personal médico y de enfermería, los riesgos se relacionan con la combinación de posturas mantenidas en consulta o quirófano y la movilización de pacientes. La ergonomía del puesto, la organización del tiempo de trabajo y la distribución de cargas entre profesionales son estrategias clave para reducir la incidencia de lesiones.</w:t>
      </w:r>
    </w:p>
    <w:p w14:paraId="1C3038A1" w14:textId="77777777" w:rsidR="0048223D" w:rsidRPr="0048223D" w:rsidRDefault="0048223D" w:rsidP="0048223D">
      <w:pPr>
        <w:jc w:val="both"/>
      </w:pPr>
      <w:r w:rsidRPr="0048223D">
        <w:t xml:space="preserve">En conjunto, los estudios coinciden en que la aplicación de medidas ergonómicas reduce significativamente la aparición de lesiones, disminuye el absentismo </w:t>
      </w:r>
      <w:r w:rsidRPr="0048223D">
        <w:lastRenderedPageBreak/>
        <w:t>laboral y mejora la calidad asistencial. Asimismo, la formación del personal en prevención de riesgos es un factor determinante para la eficacia de estas medidas.</w:t>
      </w:r>
    </w:p>
    <w:p w14:paraId="00F93183" w14:textId="77777777" w:rsidR="0048223D" w:rsidRPr="0048223D" w:rsidRDefault="0048223D" w:rsidP="0048223D">
      <w:pPr>
        <w:jc w:val="both"/>
      </w:pPr>
    </w:p>
    <w:p w14:paraId="72ED2AD4" w14:textId="77777777" w:rsidR="0048223D" w:rsidRPr="0048223D" w:rsidRDefault="0048223D" w:rsidP="0048223D">
      <w:pPr>
        <w:jc w:val="both"/>
        <w:rPr>
          <w:b/>
          <w:bCs/>
        </w:rPr>
      </w:pPr>
      <w:r w:rsidRPr="0048223D">
        <w:rPr>
          <w:b/>
          <w:bCs/>
        </w:rPr>
        <w:t>4. Conclusiones</w:t>
      </w:r>
    </w:p>
    <w:p w14:paraId="0F9108B9" w14:textId="77777777" w:rsidR="0048223D" w:rsidRPr="0048223D" w:rsidRDefault="0048223D" w:rsidP="0048223D">
      <w:pPr>
        <w:jc w:val="both"/>
      </w:pPr>
      <w:r w:rsidRPr="0048223D">
        <w:t>Los resultados obtenidos ponen de manifiesto que la ergonomía debe considerarse un elemento estructural dentro de la prevención de riesgos laborales en los centros sanitarios, afectando a todas las categorías profesionales sin excepción.</w:t>
      </w:r>
    </w:p>
    <w:p w14:paraId="4A084A0B" w14:textId="77777777" w:rsidR="0048223D" w:rsidRPr="0048223D" w:rsidRDefault="0048223D" w:rsidP="0048223D">
      <w:pPr>
        <w:jc w:val="both"/>
      </w:pPr>
      <w:r w:rsidRPr="0048223D">
        <w:t>Cada puesto presenta riesgos específicos, pero todos comparten un elemento común: la exposición a posturas inadecuadas y sobrecargas físicas derivadas de la organización del trabajo. La evidencia demuestra que pequeñas modificaciones ergonómicas pueden generar grandes mejoras en la salud del trabajador.</w:t>
      </w:r>
    </w:p>
    <w:p w14:paraId="3B0D619C" w14:textId="77777777" w:rsidR="0048223D" w:rsidRPr="0048223D" w:rsidRDefault="0048223D" w:rsidP="0048223D">
      <w:pPr>
        <w:jc w:val="both"/>
      </w:pPr>
      <w:r w:rsidRPr="0048223D">
        <w:t>Se concluye que la implementación de medidas ergonómicas no solo protege la salud del personal sanitario y no sanitario, sino que también repercute directamente en la calidad asistencial, la seguridad del paciente y la eficiencia del sistema sanitario.</w:t>
      </w:r>
    </w:p>
    <w:p w14:paraId="0B6680CE" w14:textId="77777777" w:rsidR="0048223D" w:rsidRPr="0048223D" w:rsidRDefault="0048223D" w:rsidP="0048223D">
      <w:pPr>
        <w:jc w:val="both"/>
      </w:pPr>
      <w:r w:rsidRPr="0048223D">
        <w:t>La formación continua, la adaptación de los puestos de trabajo y el uso de ayudas técnicas deben considerarse pilares fundamentales para la prevención de lesiones musculoesqueléticas en el entorno hospitalario.</w:t>
      </w:r>
    </w:p>
    <w:p w14:paraId="76681E39" w14:textId="77777777" w:rsidR="0048223D" w:rsidRPr="0048223D" w:rsidRDefault="0048223D" w:rsidP="0048223D">
      <w:pPr>
        <w:jc w:val="both"/>
      </w:pPr>
    </w:p>
    <w:p w14:paraId="135C642D" w14:textId="77777777" w:rsidR="0048223D" w:rsidRPr="0048223D" w:rsidRDefault="0048223D" w:rsidP="0048223D">
      <w:pPr>
        <w:jc w:val="both"/>
        <w:rPr>
          <w:b/>
          <w:bCs/>
        </w:rPr>
      </w:pPr>
      <w:r w:rsidRPr="0048223D">
        <w:rPr>
          <w:b/>
          <w:bCs/>
        </w:rPr>
        <w:t>5. Bibliografía</w:t>
      </w:r>
    </w:p>
    <w:p w14:paraId="5A7BC260" w14:textId="77777777" w:rsidR="0048223D" w:rsidRPr="0048223D" w:rsidRDefault="0048223D" w:rsidP="0048223D">
      <w:pPr>
        <w:jc w:val="both"/>
      </w:pPr>
      <w:r w:rsidRPr="0048223D">
        <w:t xml:space="preserve">Instituto Nacional de Seguridad y Salud en el Trabajo (INSST). (2024). </w:t>
      </w:r>
      <w:r w:rsidRPr="0048223D">
        <w:rPr>
          <w:i/>
          <w:iCs/>
        </w:rPr>
        <w:t>Guía técnica para la evaluación y prevención de los riesgos relativos a la manipulación manual de cargas</w:t>
      </w:r>
      <w:r w:rsidRPr="0048223D">
        <w:t xml:space="preserve">. </w:t>
      </w:r>
      <w:hyperlink r:id="rId19" w:tgtFrame="_new" w:history="1">
        <w:r w:rsidRPr="0048223D">
          <w:rPr>
            <w:rStyle w:val="Hipervnculo"/>
          </w:rPr>
          <w:t>https://www.uned.es/universidad/dam/inicio/institucional/gerencia/recursos-humanos/riesgos-laborales/normativa-procedimientos-consejos/NORMATIVA/NORMATIVA-INSST/Guia-tecnica-para-la-evaluacion-y-prevencion-de-los-riesgos-relativos-a-la-manipulacion-manual-de-cargas-2024.pdf</w:t>
        </w:r>
      </w:hyperlink>
    </w:p>
    <w:p w14:paraId="58DCC746" w14:textId="77777777" w:rsidR="0048223D" w:rsidRPr="0048223D" w:rsidRDefault="0048223D" w:rsidP="0048223D">
      <w:pPr>
        <w:jc w:val="both"/>
      </w:pPr>
      <w:r w:rsidRPr="0048223D">
        <w:t xml:space="preserve">Instituto Nacional de Seguridad y Salud en el Trabajo (INSST). (2011). </w:t>
      </w:r>
      <w:r w:rsidRPr="0048223D">
        <w:rPr>
          <w:i/>
          <w:iCs/>
        </w:rPr>
        <w:t>NTP 907: Evaluación del riesgo por manipulación manual de pacientes (método MAPO)</w:t>
      </w:r>
      <w:r w:rsidRPr="0048223D">
        <w:t xml:space="preserve">. </w:t>
      </w:r>
      <w:hyperlink r:id="rId20" w:tgtFrame="_new" w:history="1">
        <w:r w:rsidRPr="0048223D">
          <w:rPr>
            <w:rStyle w:val="Hipervnculo"/>
          </w:rPr>
          <w:t>https://www.insst.es/documentacion/colecciones-tecnicas/ntp-notas-tecnicas-de-prevencion/26-serie-ntp-numeros-891-a-925-ano-2011/nota-tecnica-de-prevencion-ntp-907</w:t>
        </w:r>
      </w:hyperlink>
    </w:p>
    <w:p w14:paraId="28D59F93" w14:textId="77777777" w:rsidR="0048223D" w:rsidRPr="0048223D" w:rsidRDefault="0048223D" w:rsidP="0048223D">
      <w:pPr>
        <w:jc w:val="both"/>
      </w:pPr>
      <w:r w:rsidRPr="0048223D">
        <w:rPr>
          <w:lang w:val="en-GB"/>
        </w:rPr>
        <w:t xml:space="preserve">European Agency for Safety and Health at Work (EU-OSHA). (2020). </w:t>
      </w:r>
      <w:r w:rsidRPr="0048223D">
        <w:rPr>
          <w:i/>
          <w:iCs/>
          <w:lang w:val="en-GB"/>
        </w:rPr>
        <w:t>Work-related musculoskeletal disorders: prevalence, costs and demographics in the EU</w:t>
      </w:r>
      <w:r w:rsidRPr="0048223D">
        <w:rPr>
          <w:lang w:val="en-GB"/>
        </w:rPr>
        <w:t xml:space="preserve">. </w:t>
      </w:r>
      <w:r>
        <w:lastRenderedPageBreak/>
        <w:fldChar w:fldCharType="begin"/>
      </w:r>
      <w:r w:rsidRPr="00226AFD">
        <w:rPr>
          <w:lang w:val="en-GB"/>
        </w:rPr>
        <w:instrText>HYPERLINK "https://op.europa.eu/en/publication-detail/-/publication/5819be4f-0393-11eb-a511-01aa75ed71a1" \t "_new"</w:instrText>
      </w:r>
      <w:r>
        <w:fldChar w:fldCharType="separate"/>
      </w:r>
      <w:r w:rsidRPr="0048223D">
        <w:rPr>
          <w:rStyle w:val="Hipervnculo"/>
        </w:rPr>
        <w:t>https://op.europa.eu/en/publication-detail/-/publication/5819be4f-0393-11eb-a511-01aa75ed71a1</w:t>
      </w:r>
      <w:r>
        <w:fldChar w:fldCharType="end"/>
      </w:r>
    </w:p>
    <w:p w14:paraId="26578765" w14:textId="77777777" w:rsidR="0048223D" w:rsidRPr="0048223D" w:rsidRDefault="0048223D" w:rsidP="0048223D">
      <w:pPr>
        <w:jc w:val="both"/>
      </w:pPr>
      <w:r w:rsidRPr="0048223D">
        <w:rPr>
          <w:lang w:val="en-GB"/>
        </w:rPr>
        <w:t xml:space="preserve">Health and Safety Executive (HSE). (2024). </w:t>
      </w:r>
      <w:r w:rsidRPr="0048223D">
        <w:rPr>
          <w:i/>
          <w:iCs/>
          <w:lang w:val="en-GB"/>
        </w:rPr>
        <w:t>Moving and handling in health and social care</w:t>
      </w:r>
      <w:r w:rsidRPr="0048223D">
        <w:rPr>
          <w:lang w:val="en-GB"/>
        </w:rPr>
        <w:t xml:space="preserve">. </w:t>
      </w:r>
      <w:r>
        <w:fldChar w:fldCharType="begin"/>
      </w:r>
      <w:r w:rsidRPr="00226AFD">
        <w:rPr>
          <w:lang w:val="en-GB"/>
        </w:rPr>
        <w:instrText>HYPERLINK "https://www.hse.gov.uk/healthservices/moving-handling/index.htm" \t "_new"</w:instrText>
      </w:r>
      <w:r>
        <w:fldChar w:fldCharType="separate"/>
      </w:r>
      <w:r w:rsidRPr="0048223D">
        <w:rPr>
          <w:rStyle w:val="Hipervnculo"/>
        </w:rPr>
        <w:t>https://www.hse.gov.uk/healthservices/moving-handling/index.htm</w:t>
      </w:r>
      <w:r>
        <w:fldChar w:fldCharType="end"/>
      </w:r>
    </w:p>
    <w:p w14:paraId="06F201FD" w14:textId="77777777" w:rsidR="0048223D" w:rsidRPr="0048223D" w:rsidRDefault="0048223D" w:rsidP="0048223D">
      <w:pPr>
        <w:jc w:val="both"/>
      </w:pPr>
      <w:r w:rsidRPr="0048223D">
        <w:t xml:space="preserve">Instituto Nacional de Seguridad y Salud en el Trabajo (INSST). (2025). </w:t>
      </w:r>
      <w:r w:rsidRPr="0048223D">
        <w:rPr>
          <w:i/>
          <w:iCs/>
        </w:rPr>
        <w:t>Guía técnica para la evaluación y prevención de los riesgos relativos a la utilización de equipos con pantallas de visualización</w:t>
      </w:r>
      <w:r w:rsidRPr="0048223D">
        <w:t xml:space="preserve">. </w:t>
      </w:r>
      <w:hyperlink r:id="rId21" w:tgtFrame="_new" w:history="1">
        <w:r w:rsidRPr="0048223D">
          <w:rPr>
            <w:rStyle w:val="Hipervnculo"/>
          </w:rPr>
          <w:t>https://www.insst.es/documents/94886/203536/Guia%2Btecnica%2Bpara%2Bla%2Bevaluacion%2By%2Bprevencion%2Bde%2Blos%2Briesgos%2Brelativos%2Ba%2Bla%2Butilizacion%2Bde%2Bequipos%2Bcon%2Bpantallas%2Bde%2Bvisualizacion%2B2021.pdf</w:t>
        </w:r>
      </w:hyperlink>
    </w:p>
    <w:p w14:paraId="0D4307A7" w14:textId="77777777" w:rsidR="0048223D" w:rsidRPr="0048223D" w:rsidRDefault="0048223D" w:rsidP="0048223D">
      <w:pPr>
        <w:jc w:val="both"/>
      </w:pPr>
    </w:p>
    <w:p w14:paraId="1D015990" w14:textId="77777777" w:rsidR="00FD70EB" w:rsidRDefault="00FD70EB" w:rsidP="00CE24EF">
      <w:pPr>
        <w:jc w:val="both"/>
      </w:pPr>
    </w:p>
    <w:p w14:paraId="793B85CF" w14:textId="77777777" w:rsidR="0048223D" w:rsidRDefault="0048223D" w:rsidP="00CE24EF">
      <w:pPr>
        <w:jc w:val="both"/>
      </w:pPr>
    </w:p>
    <w:p w14:paraId="5E266634" w14:textId="77777777" w:rsidR="0048223D" w:rsidRDefault="0048223D" w:rsidP="00CE24EF">
      <w:pPr>
        <w:jc w:val="both"/>
      </w:pPr>
    </w:p>
    <w:p w14:paraId="60DF0854" w14:textId="77777777" w:rsidR="0048223D" w:rsidRDefault="0048223D" w:rsidP="00CE24EF">
      <w:pPr>
        <w:jc w:val="both"/>
      </w:pPr>
    </w:p>
    <w:p w14:paraId="6D4A9DB6" w14:textId="77777777" w:rsidR="0048223D" w:rsidRDefault="0048223D" w:rsidP="00CE24EF">
      <w:pPr>
        <w:jc w:val="both"/>
      </w:pPr>
    </w:p>
    <w:p w14:paraId="76D72592" w14:textId="77777777" w:rsidR="0048223D" w:rsidRDefault="0048223D" w:rsidP="00CE24EF">
      <w:pPr>
        <w:jc w:val="both"/>
      </w:pPr>
    </w:p>
    <w:p w14:paraId="646D85F5" w14:textId="77777777" w:rsidR="0048223D" w:rsidRDefault="0048223D" w:rsidP="00CE24EF">
      <w:pPr>
        <w:jc w:val="both"/>
      </w:pPr>
    </w:p>
    <w:p w14:paraId="47E80B33" w14:textId="77777777" w:rsidR="0048223D" w:rsidRDefault="0048223D" w:rsidP="00CE24EF">
      <w:pPr>
        <w:jc w:val="both"/>
      </w:pPr>
    </w:p>
    <w:p w14:paraId="78BB17DB" w14:textId="77777777" w:rsidR="0048223D" w:rsidRDefault="0048223D" w:rsidP="00CE24EF">
      <w:pPr>
        <w:jc w:val="both"/>
      </w:pPr>
    </w:p>
    <w:p w14:paraId="5D2D95B8" w14:textId="77777777" w:rsidR="0048223D" w:rsidRDefault="0048223D" w:rsidP="00CE24EF">
      <w:pPr>
        <w:jc w:val="both"/>
      </w:pPr>
    </w:p>
    <w:p w14:paraId="754451C0" w14:textId="77777777" w:rsidR="0048223D" w:rsidRDefault="0048223D" w:rsidP="00CE24EF">
      <w:pPr>
        <w:jc w:val="both"/>
      </w:pPr>
    </w:p>
    <w:p w14:paraId="1BE78504" w14:textId="77777777" w:rsidR="0048223D" w:rsidRDefault="0048223D" w:rsidP="00CE24EF">
      <w:pPr>
        <w:jc w:val="both"/>
      </w:pPr>
    </w:p>
    <w:p w14:paraId="7C2E03A2" w14:textId="77777777" w:rsidR="0048223D" w:rsidRDefault="0048223D" w:rsidP="00CE24EF">
      <w:pPr>
        <w:jc w:val="both"/>
      </w:pPr>
    </w:p>
    <w:p w14:paraId="366F65C4" w14:textId="77777777" w:rsidR="0048223D" w:rsidRDefault="0048223D" w:rsidP="00CE24EF">
      <w:pPr>
        <w:jc w:val="both"/>
      </w:pPr>
    </w:p>
    <w:p w14:paraId="1310A31D" w14:textId="77777777" w:rsidR="0048223D" w:rsidRDefault="0048223D" w:rsidP="00CE24EF">
      <w:pPr>
        <w:jc w:val="both"/>
      </w:pPr>
    </w:p>
    <w:p w14:paraId="54738703" w14:textId="77777777" w:rsidR="0048223D" w:rsidRDefault="0048223D" w:rsidP="00CE24EF">
      <w:pPr>
        <w:jc w:val="both"/>
      </w:pPr>
    </w:p>
    <w:p w14:paraId="3C98AF68" w14:textId="77777777" w:rsidR="0048223D" w:rsidRDefault="0048223D" w:rsidP="00CE24EF">
      <w:pPr>
        <w:jc w:val="both"/>
      </w:pPr>
    </w:p>
    <w:p w14:paraId="0821C0CE" w14:textId="77777777" w:rsidR="0048223D" w:rsidRDefault="0048223D" w:rsidP="00CE24EF">
      <w:pPr>
        <w:jc w:val="both"/>
      </w:pPr>
    </w:p>
    <w:p w14:paraId="7D23AC63" w14:textId="77777777" w:rsidR="0048223D" w:rsidRDefault="0048223D" w:rsidP="00CE24EF">
      <w:pPr>
        <w:jc w:val="both"/>
      </w:pPr>
    </w:p>
    <w:p w14:paraId="6BD98155" w14:textId="77777777" w:rsidR="00EF3408" w:rsidRPr="00EF3408" w:rsidRDefault="00EF3408" w:rsidP="00EF3408">
      <w:pPr>
        <w:jc w:val="both"/>
        <w:rPr>
          <w:b/>
          <w:bCs/>
        </w:rPr>
      </w:pPr>
      <w:r w:rsidRPr="00EF3408">
        <w:rPr>
          <w:b/>
          <w:bCs/>
        </w:rPr>
        <w:lastRenderedPageBreak/>
        <w:t>La comunicación asertiva por parte del personal sanitario y no sanitario</w:t>
      </w:r>
    </w:p>
    <w:p w14:paraId="124399C9" w14:textId="77777777" w:rsidR="00EF3408" w:rsidRPr="00EF3408" w:rsidRDefault="00EF3408" w:rsidP="00EF3408">
      <w:pPr>
        <w:jc w:val="both"/>
        <w:rPr>
          <w:b/>
          <w:bCs/>
        </w:rPr>
      </w:pPr>
    </w:p>
    <w:p w14:paraId="466F69E5" w14:textId="77777777" w:rsidR="00EF3408" w:rsidRPr="00EF3408" w:rsidRDefault="00EF3408" w:rsidP="00EF3408">
      <w:pPr>
        <w:jc w:val="both"/>
        <w:rPr>
          <w:b/>
          <w:bCs/>
        </w:rPr>
      </w:pPr>
      <w:r w:rsidRPr="00EF3408">
        <w:rPr>
          <w:b/>
          <w:bCs/>
        </w:rPr>
        <w:t>1. Introducción</w:t>
      </w:r>
    </w:p>
    <w:p w14:paraId="3B3E40AC" w14:textId="77777777" w:rsidR="00EF3408" w:rsidRPr="00EF3408" w:rsidRDefault="00EF3408" w:rsidP="00EF3408">
      <w:pPr>
        <w:jc w:val="both"/>
      </w:pPr>
      <w:r w:rsidRPr="00EF3408">
        <w:t>La comunicación en el entorno sanitario es un elemento estructural del funcionamiento de cualquier institución de salud. No se limita al contacto directo con el paciente, sino que se desarrolla de forma constante entre todos los profesionales que integran el sistema sanitario, tanto sanitarios como no sanitarios.</w:t>
      </w:r>
    </w:p>
    <w:p w14:paraId="5E43CF17" w14:textId="77777777" w:rsidR="00EF3408" w:rsidRPr="00EF3408" w:rsidRDefault="00EF3408" w:rsidP="00EF3408">
      <w:pPr>
        <w:jc w:val="both"/>
      </w:pPr>
      <w:r w:rsidRPr="00EF3408">
        <w:t xml:space="preserve">En este contexto, </w:t>
      </w:r>
      <w:proofErr w:type="gramStart"/>
      <w:r w:rsidRPr="00EF3408">
        <w:t>la asertividad</w:t>
      </w:r>
      <w:proofErr w:type="gramEnd"/>
      <w:r w:rsidRPr="00EF3408">
        <w:t xml:space="preserve"> se define como la capacidad de expresar ideas, necesidades y límites de forma clara, respetuosa y equilibrada, siendo especialmente relevante en entornos de alta presión como hospitales y centros de salud. Su aplicación no solo mejora la relación con los usuarios, sino también la coordinación interna entre categorías profesionales.</w:t>
      </w:r>
    </w:p>
    <w:p w14:paraId="6A6C7F91" w14:textId="77777777" w:rsidR="00EF3408" w:rsidRPr="00EF3408" w:rsidRDefault="00EF3408" w:rsidP="00EF3408">
      <w:pPr>
        <w:jc w:val="both"/>
      </w:pPr>
      <w:r w:rsidRPr="00EF3408">
        <w:t xml:space="preserve">Este capítulo analiza el papel de la comunicación asertiva en equipos multidisciplinares hospitalarios, incluyendo personal médico, enfermero, TCAE, celadores, auxiliares administrativos, telefonistas, personal de limpieza, lencería, cocina, pinches y planchadores, entre otros. </w:t>
      </w:r>
    </w:p>
    <w:p w14:paraId="5F66D230" w14:textId="77777777" w:rsidR="00EF3408" w:rsidRPr="00EF3408" w:rsidRDefault="00EF3408" w:rsidP="00EF3408">
      <w:pPr>
        <w:jc w:val="both"/>
      </w:pPr>
    </w:p>
    <w:p w14:paraId="069A6697" w14:textId="77777777" w:rsidR="00EF3408" w:rsidRPr="00EF3408" w:rsidRDefault="00EF3408" w:rsidP="00EF3408">
      <w:pPr>
        <w:jc w:val="both"/>
        <w:rPr>
          <w:b/>
          <w:bCs/>
        </w:rPr>
      </w:pPr>
      <w:r w:rsidRPr="00EF3408">
        <w:rPr>
          <w:b/>
          <w:bCs/>
        </w:rPr>
        <w:t>2. Metodología</w:t>
      </w:r>
    </w:p>
    <w:p w14:paraId="6C5E5897" w14:textId="77777777" w:rsidR="00EF3408" w:rsidRPr="00EF3408" w:rsidRDefault="00EF3408" w:rsidP="00EF3408">
      <w:pPr>
        <w:jc w:val="both"/>
      </w:pPr>
      <w:r w:rsidRPr="00EF3408">
        <w:t>Se ha realizado una revisión bibliográfica narrativa basada en literatura científica, documentos institucionales y estudios sobre comunicación asertiva en entornos sanitarios. Las búsquedas se llevaron a cabo en bases de datos como PubMed, SciELO y Google Scholar, utilizando términos como “</w:t>
      </w:r>
      <w:proofErr w:type="spellStart"/>
      <w:r w:rsidRPr="00EF3408">
        <w:t>assertive</w:t>
      </w:r>
      <w:proofErr w:type="spellEnd"/>
      <w:r w:rsidRPr="00EF3408">
        <w:t xml:space="preserve"> </w:t>
      </w:r>
      <w:proofErr w:type="spellStart"/>
      <w:r w:rsidRPr="00EF3408">
        <w:t>communication</w:t>
      </w:r>
      <w:proofErr w:type="spellEnd"/>
      <w:r w:rsidRPr="00EF3408">
        <w:t xml:space="preserve"> in </w:t>
      </w:r>
      <w:proofErr w:type="spellStart"/>
      <w:r w:rsidRPr="00EF3408">
        <w:t>healthcare</w:t>
      </w:r>
      <w:proofErr w:type="spellEnd"/>
      <w:r w:rsidRPr="00EF3408">
        <w:t>”, “comunicación en equipos sanitarios”, “</w:t>
      </w:r>
      <w:proofErr w:type="spellStart"/>
      <w:r w:rsidRPr="00EF3408">
        <w:t>interdisciplinary</w:t>
      </w:r>
      <w:proofErr w:type="spellEnd"/>
      <w:r w:rsidRPr="00EF3408">
        <w:t xml:space="preserve"> </w:t>
      </w:r>
      <w:proofErr w:type="spellStart"/>
      <w:r w:rsidRPr="00EF3408">
        <w:t>teams</w:t>
      </w:r>
      <w:proofErr w:type="spellEnd"/>
      <w:r w:rsidRPr="00EF3408">
        <w:t>” y “</w:t>
      </w:r>
      <w:proofErr w:type="spellStart"/>
      <w:r w:rsidRPr="00EF3408">
        <w:t>healthcare</w:t>
      </w:r>
      <w:proofErr w:type="spellEnd"/>
      <w:r w:rsidRPr="00EF3408">
        <w:t xml:space="preserve"> </w:t>
      </w:r>
      <w:proofErr w:type="spellStart"/>
      <w:r w:rsidRPr="00EF3408">
        <w:t>communication</w:t>
      </w:r>
      <w:proofErr w:type="spellEnd"/>
      <w:r w:rsidRPr="00EF3408">
        <w:t>”.</w:t>
      </w:r>
    </w:p>
    <w:p w14:paraId="7A79795C" w14:textId="77777777" w:rsidR="00EF3408" w:rsidRPr="00EF3408" w:rsidRDefault="00EF3408" w:rsidP="00EF3408">
      <w:pPr>
        <w:jc w:val="both"/>
      </w:pPr>
      <w:r w:rsidRPr="00EF3408">
        <w:t>Se seleccionaron artículos centrados en la dinámica de equipos multidisciplinares, así como guías sobre seguridad del paciente y calidad asistencial. Se incluyeron estudios que analizan la interacción entre diferentes perfiles profesionales dentro de hospitales, destacando la importancia de la comunicación interna como factor clave en la eficiencia organizativa y la reducción de errores.</w:t>
      </w:r>
    </w:p>
    <w:p w14:paraId="2131BCD4" w14:textId="77777777" w:rsidR="00EF3408" w:rsidRPr="00EF3408" w:rsidRDefault="00EF3408" w:rsidP="00EF3408">
      <w:pPr>
        <w:jc w:val="both"/>
      </w:pPr>
      <w:r w:rsidRPr="00EF3408">
        <w:t>El análisis se orientó a identificar cómo la comunicación asertiva influye en la coordinación entre categorías profesionales y en la calidad global del funcionamiento del sistema sanitario.</w:t>
      </w:r>
    </w:p>
    <w:p w14:paraId="0C25D4FB" w14:textId="77777777" w:rsidR="00EF3408" w:rsidRPr="00EF3408" w:rsidRDefault="00EF3408" w:rsidP="00EF3408">
      <w:pPr>
        <w:jc w:val="both"/>
      </w:pPr>
    </w:p>
    <w:p w14:paraId="22684AFF" w14:textId="77777777" w:rsidR="00EF3408" w:rsidRPr="00EF3408" w:rsidRDefault="00EF3408" w:rsidP="00EF3408">
      <w:pPr>
        <w:jc w:val="both"/>
        <w:rPr>
          <w:b/>
          <w:bCs/>
        </w:rPr>
      </w:pPr>
      <w:r w:rsidRPr="00EF3408">
        <w:rPr>
          <w:b/>
          <w:bCs/>
        </w:rPr>
        <w:t>3. Resultados</w:t>
      </w:r>
    </w:p>
    <w:p w14:paraId="1611D9C1" w14:textId="77777777" w:rsidR="00EF3408" w:rsidRPr="00EF3408" w:rsidRDefault="00EF3408" w:rsidP="00EF3408">
      <w:pPr>
        <w:jc w:val="both"/>
      </w:pPr>
      <w:r w:rsidRPr="00EF3408">
        <w:lastRenderedPageBreak/>
        <w:t>La revisión de la literatura evidencia que la comunicación asertiva constituye un elemento determinante en la eficacia de los equipos sanitarios y no sanitarios, ya que influye directamente en la coordinación interna, la seguridad de los procesos y la calidad del entorno laboral.</w:t>
      </w:r>
    </w:p>
    <w:p w14:paraId="45DB6EAB" w14:textId="77777777" w:rsidR="00EF3408" w:rsidRPr="00EF3408" w:rsidRDefault="00EF3408" w:rsidP="00EF3408">
      <w:pPr>
        <w:jc w:val="both"/>
      </w:pPr>
      <w:r w:rsidRPr="00EF3408">
        <w:t>En el ámbito hospitalario, la actividad diaria se organiza como una cadena interdependiente en la que cada categoría profesional desempeña un papel esencial. El personal médico y de enfermería depende de la correcta transmisión de información clínica y organizativa por parte de auxiliares administrativos y telefonistas, que gestionan citas, derivaciones y avisos. Una comunicación poco clara en estos niveles puede generar errores en la programación asistencial o retrasos en la atención.</w:t>
      </w:r>
    </w:p>
    <w:p w14:paraId="0E3180BF" w14:textId="77777777" w:rsidR="00EF3408" w:rsidRPr="00EF3408" w:rsidRDefault="00EF3408" w:rsidP="00EF3408">
      <w:pPr>
        <w:jc w:val="both"/>
      </w:pPr>
      <w:r w:rsidRPr="00EF3408">
        <w:t>Los celadores representan un eslabón clave en la logística hospitalaria, especialmente en el traslado de pacientes, documentación y apoyo en unidades. La comunicación asertiva en este colectivo es fundamental para coordinar movimientos seguros, evitar malentendidos con enfermería y transmitir información relevante sobre el estado del paciente durante traslados internos.</w:t>
      </w:r>
    </w:p>
    <w:p w14:paraId="1C24E513" w14:textId="77777777" w:rsidR="00EF3408" w:rsidRPr="00EF3408" w:rsidRDefault="00EF3408" w:rsidP="00EF3408">
      <w:pPr>
        <w:jc w:val="both"/>
      </w:pPr>
      <w:r w:rsidRPr="00EF3408">
        <w:t>En el área de servicios generales, el personal de limpieza, cocina, lencería y planchadores desempeña funciones esenciales para la seguridad del entorno sanitario. Una comunicación clara y respetuosa con supervisores y otros servicios garantiza el cumplimiento de protocolos de higiene, circuitos de ropa y normas de seguridad alimentaria. La falta de comunicación efectiva puede derivar en errores en la distribución de material, contaminación cruzada o fallos en la logística interna.</w:t>
      </w:r>
    </w:p>
    <w:p w14:paraId="4E74BA88" w14:textId="77777777" w:rsidR="00EF3408" w:rsidRPr="00EF3408" w:rsidRDefault="00EF3408" w:rsidP="00EF3408">
      <w:pPr>
        <w:jc w:val="both"/>
      </w:pPr>
      <w:r w:rsidRPr="00EF3408">
        <w:t xml:space="preserve">Asimismo, el personal de cocina y pinches de cocina requiere coordinación constante con dietistas, enfermería y servicios médicos para garantizar que las dietas se ajusten correctamente a las necesidades clínicas de los pacientes. </w:t>
      </w:r>
      <w:proofErr w:type="gramStart"/>
      <w:r w:rsidRPr="00EF3408">
        <w:t>La asertividad</w:t>
      </w:r>
      <w:proofErr w:type="gramEnd"/>
      <w:r w:rsidRPr="00EF3408">
        <w:t xml:space="preserve"> en la comunicación evita confusiones en menús, alergias o restricciones alimentarias.</w:t>
      </w:r>
    </w:p>
    <w:p w14:paraId="6F24C8D2" w14:textId="77777777" w:rsidR="00EF3408" w:rsidRPr="00EF3408" w:rsidRDefault="00EF3408" w:rsidP="00EF3408">
      <w:pPr>
        <w:jc w:val="both"/>
      </w:pPr>
      <w:r w:rsidRPr="00EF3408">
        <w:t>En todos los casos analizados, la literatura coincide en que la comunicación asertiva reduce significativamente los conflictos internos, mejora la fluidez del trabajo y disminuye la aparición de errores organizativos. Además, favorece un clima laboral más estable, basado en el respeto mutuo entre categorías profesionales con funciones muy diferenciadas pero interdependientes.</w:t>
      </w:r>
    </w:p>
    <w:p w14:paraId="71392330" w14:textId="77777777" w:rsidR="00EF3408" w:rsidRPr="00EF3408" w:rsidRDefault="00EF3408" w:rsidP="00EF3408">
      <w:pPr>
        <w:jc w:val="both"/>
      </w:pPr>
    </w:p>
    <w:p w14:paraId="3807CEDE" w14:textId="77777777" w:rsidR="00EF3408" w:rsidRPr="00EF3408" w:rsidRDefault="00EF3408" w:rsidP="00EF3408">
      <w:pPr>
        <w:jc w:val="both"/>
        <w:rPr>
          <w:b/>
          <w:bCs/>
        </w:rPr>
      </w:pPr>
      <w:r w:rsidRPr="00EF3408">
        <w:rPr>
          <w:b/>
          <w:bCs/>
        </w:rPr>
        <w:t>4. Conclusiones</w:t>
      </w:r>
    </w:p>
    <w:p w14:paraId="1E97D9D1" w14:textId="77777777" w:rsidR="00EF3408" w:rsidRPr="00EF3408" w:rsidRDefault="00EF3408" w:rsidP="00EF3408">
      <w:pPr>
        <w:jc w:val="both"/>
      </w:pPr>
      <w:r w:rsidRPr="00EF3408">
        <w:lastRenderedPageBreak/>
        <w:t>Los resultados obtenidos ponen de manifiesto que la comunicación asertiva no es únicamente una habilidad individual, sino una competencia organizacional imprescindible en los centros sanitarios modernos.</w:t>
      </w:r>
    </w:p>
    <w:p w14:paraId="428BDF1F" w14:textId="77777777" w:rsidR="00EF3408" w:rsidRPr="00EF3408" w:rsidRDefault="00EF3408" w:rsidP="00EF3408">
      <w:pPr>
        <w:jc w:val="both"/>
      </w:pPr>
      <w:r w:rsidRPr="00EF3408">
        <w:t>La estructura hospitalaria actual depende de equipos multidisciplinares altamente interconectados, donde cada categoría profesional —desde el personal médico hasta el personal de limpieza, cocina, celadores o administrativos— influye en el funcionamiento global del sistema.</w:t>
      </w:r>
    </w:p>
    <w:p w14:paraId="0AFB8AF2" w14:textId="77777777" w:rsidR="00EF3408" w:rsidRPr="00EF3408" w:rsidRDefault="00EF3408" w:rsidP="00EF3408">
      <w:pPr>
        <w:jc w:val="both"/>
      </w:pPr>
      <w:r w:rsidRPr="00EF3408">
        <w:t>La falta de comunicación asertiva puede generar errores en cadena, aumentar la carga de trabajo y afectar indirectamente a la calidad asistencial. Por el contrario, su adecuada aplicación mejora la coordinación, reduce tensiones internas y fortalece la eficiencia del sistema sanitario.</w:t>
      </w:r>
    </w:p>
    <w:p w14:paraId="6F0E21DB" w14:textId="77777777" w:rsidR="00EF3408" w:rsidRPr="00EF3408" w:rsidRDefault="00EF3408" w:rsidP="00EF3408">
      <w:pPr>
        <w:jc w:val="both"/>
      </w:pPr>
      <w:r w:rsidRPr="00EF3408">
        <w:t>Se concluye que la formación en comunicación asertiva debería ser transversal a todas las categorías profesionales del ámbito sanitario, ya que su impacto no se limita a la relación con el paciente, sino que es fundamental para la seguridad, la organización y el correcto funcionamiento de los centros de salud.</w:t>
      </w:r>
    </w:p>
    <w:p w14:paraId="0C35B464" w14:textId="77777777" w:rsidR="00EF3408" w:rsidRPr="00EF3408" w:rsidRDefault="00EF3408" w:rsidP="00EF3408">
      <w:pPr>
        <w:jc w:val="both"/>
      </w:pPr>
    </w:p>
    <w:p w14:paraId="03560E1D" w14:textId="77777777" w:rsidR="00EF3408" w:rsidRPr="00EF3408" w:rsidRDefault="00EF3408" w:rsidP="00EF3408">
      <w:pPr>
        <w:jc w:val="both"/>
        <w:rPr>
          <w:b/>
          <w:bCs/>
        </w:rPr>
      </w:pPr>
      <w:r w:rsidRPr="00EF3408">
        <w:rPr>
          <w:b/>
          <w:bCs/>
        </w:rPr>
        <w:t>5. Bibliografía</w:t>
      </w:r>
    </w:p>
    <w:p w14:paraId="17682157" w14:textId="77777777" w:rsidR="00EF3408" w:rsidRPr="00EF3408" w:rsidRDefault="00EF3408" w:rsidP="00EF3408">
      <w:pPr>
        <w:jc w:val="both"/>
      </w:pPr>
      <w:r w:rsidRPr="00EF3408">
        <w:t xml:space="preserve">Ruiz, C., Orellana, M. y Chávez, A. (2021). Comunicación asertiva y su relación enfermero-paciente. </w:t>
      </w:r>
      <w:r w:rsidRPr="00EF3408">
        <w:rPr>
          <w:i/>
          <w:iCs/>
        </w:rPr>
        <w:t>Ciencia Latina Revista Científica Multidisciplinar, 5</w:t>
      </w:r>
      <w:r w:rsidRPr="00EF3408">
        <w:t xml:space="preserve">(2), 1633–1648. </w:t>
      </w:r>
      <w:hyperlink r:id="rId22" w:tgtFrame="_new" w:history="1">
        <w:r w:rsidRPr="00EF3408">
          <w:rPr>
            <w:rStyle w:val="Hipervnculo"/>
          </w:rPr>
          <w:t>https://ciencialatina.org/index.php/cienciala/article/download/1633/2287/</w:t>
        </w:r>
      </w:hyperlink>
    </w:p>
    <w:p w14:paraId="10D3BFEE" w14:textId="77777777" w:rsidR="00EF3408" w:rsidRPr="00EF3408" w:rsidRDefault="00EF3408" w:rsidP="00EF3408">
      <w:pPr>
        <w:jc w:val="both"/>
      </w:pPr>
      <w:r w:rsidRPr="00EF3408">
        <w:t xml:space="preserve">Gutiérrez-Barreto, S., Martínez-Ramos, C., &amp; Pérez-Alvarado, L. (2023). La empatía, la comunicación efectiva y </w:t>
      </w:r>
      <w:proofErr w:type="gramStart"/>
      <w:r w:rsidRPr="00EF3408">
        <w:t>la asertividad</w:t>
      </w:r>
      <w:proofErr w:type="gramEnd"/>
      <w:r w:rsidRPr="00EF3408">
        <w:t xml:space="preserve"> en el personal de salud. </w:t>
      </w:r>
      <w:r w:rsidRPr="00EF3408">
        <w:rPr>
          <w:i/>
          <w:iCs/>
        </w:rPr>
        <w:t>Revista Médica del Instituto Mexicano del Seguro Social, 61</w:t>
      </w:r>
      <w:r w:rsidRPr="00EF3408">
        <w:t xml:space="preserve">(1), 1–8. </w:t>
      </w:r>
      <w:hyperlink r:id="rId23" w:tgtFrame="_new" w:history="1">
        <w:r w:rsidRPr="00EF3408">
          <w:rPr>
            <w:rStyle w:val="Hipervnculo"/>
          </w:rPr>
          <w:t>https://www.scielo.org.mx/scielo.php?pid=S0301-696X2023000100001&amp;script=sci_arttext</w:t>
        </w:r>
      </w:hyperlink>
    </w:p>
    <w:p w14:paraId="2676BF37" w14:textId="77777777" w:rsidR="00EF3408" w:rsidRPr="00EF3408" w:rsidRDefault="00EF3408" w:rsidP="00EF3408">
      <w:pPr>
        <w:jc w:val="both"/>
      </w:pPr>
      <w:r w:rsidRPr="00EF3408">
        <w:t xml:space="preserve">Martín-Hernández, M., &amp; Suárez-Gil, M. (2020). Relevancia de la comunicación asertiva de las enfermeras en la adherencia terapéutica de los pacientes con EPOC: revisión bibliográfica. </w:t>
      </w:r>
      <w:r w:rsidRPr="00EF3408">
        <w:rPr>
          <w:i/>
          <w:iCs/>
        </w:rPr>
        <w:t>Revista Española de Comunicación en Salud, 11</w:t>
      </w:r>
      <w:r w:rsidRPr="00EF3408">
        <w:t xml:space="preserve">(2), 45–56. </w:t>
      </w:r>
      <w:hyperlink r:id="rId24" w:tgtFrame="_new" w:history="1">
        <w:r w:rsidRPr="00EF3408">
          <w:rPr>
            <w:rStyle w:val="Hipervnculo"/>
          </w:rPr>
          <w:t>https://riull.ull.es/xmlui/bitstream/handle/915/41620/Relevancia%20de%20la%20Comunicacion%20Asertiva%20de%20las%20Enfermeras%20en%20la%20Adherencia%20Terapeutica%20de%20los%20Pacientes%20con%20EPOC.%20Revision%20Bibliografica.pdf</w:t>
        </w:r>
      </w:hyperlink>
    </w:p>
    <w:p w14:paraId="02C3B86C" w14:textId="77777777" w:rsidR="0048223D" w:rsidRDefault="0048223D" w:rsidP="00CE24EF">
      <w:pPr>
        <w:jc w:val="both"/>
      </w:pPr>
    </w:p>
    <w:p w14:paraId="2608884F" w14:textId="77777777" w:rsidR="00EF3408" w:rsidRDefault="00EF3408" w:rsidP="00CE24EF">
      <w:pPr>
        <w:jc w:val="both"/>
      </w:pPr>
    </w:p>
    <w:p w14:paraId="1BA7B39E" w14:textId="77777777" w:rsidR="00EF3408" w:rsidRDefault="00EF3408" w:rsidP="00CE24EF">
      <w:pPr>
        <w:jc w:val="both"/>
      </w:pPr>
    </w:p>
    <w:p w14:paraId="2F475F8B" w14:textId="77777777" w:rsidR="00043CFC" w:rsidRPr="00043CFC" w:rsidRDefault="00043CFC" w:rsidP="00043CFC">
      <w:pPr>
        <w:jc w:val="both"/>
        <w:rPr>
          <w:b/>
          <w:bCs/>
        </w:rPr>
      </w:pPr>
      <w:r w:rsidRPr="00043CFC">
        <w:rPr>
          <w:b/>
          <w:bCs/>
        </w:rPr>
        <w:lastRenderedPageBreak/>
        <w:t>La higiene de manos como estrategia de prevención de infecciones en el ámbito laboral sanitario y no sanitario</w:t>
      </w:r>
    </w:p>
    <w:p w14:paraId="60292785" w14:textId="77777777" w:rsidR="00043CFC" w:rsidRPr="00043CFC" w:rsidRDefault="00043CFC" w:rsidP="00043CFC">
      <w:pPr>
        <w:jc w:val="both"/>
      </w:pPr>
      <w:r w:rsidRPr="00043CFC">
        <w:t>Introducción</w:t>
      </w:r>
    </w:p>
    <w:p w14:paraId="25DDF2DC" w14:textId="77777777" w:rsidR="00043CFC" w:rsidRPr="00043CFC" w:rsidRDefault="00043CFC" w:rsidP="00043CFC">
      <w:pPr>
        <w:jc w:val="both"/>
      </w:pPr>
      <w:r w:rsidRPr="00043CFC">
        <w:t>La higiene de manos constituye una de las intervenciones preventivas más sencillas, económicas y eficaces para reducir la transmisión de microorganismos. Su correcta aplicación disminuye el riesgo de infecciones, protege la salud de los trabajadores y contribuye a mantener entornos laborales seguros.</w:t>
      </w:r>
    </w:p>
    <w:p w14:paraId="4EBA97B8" w14:textId="77777777" w:rsidR="00043CFC" w:rsidRPr="00043CFC" w:rsidRDefault="00043CFC" w:rsidP="00043CFC">
      <w:pPr>
        <w:jc w:val="both"/>
      </w:pPr>
      <w:r w:rsidRPr="00043CFC">
        <w:t>Aunque tradicionalmente se ha asociado con el ámbito sanitario, la higiene de manos es una medida esencial para todos los profesionales, incluidos aquellos que desempeñan funciones administrativas, de limpieza, mantenimiento, cocina, lavandería, celaduría o atención al público. El contacto frecuente con personas, superficies y materiales de uso común favorece la transmisión de agentes infecciosos cuando no se mantienen unas adecuadas medidas de higiene.</w:t>
      </w:r>
    </w:p>
    <w:p w14:paraId="675B57B7" w14:textId="77777777" w:rsidR="00043CFC" w:rsidRPr="00043CFC" w:rsidRDefault="00043CFC" w:rsidP="00043CFC">
      <w:pPr>
        <w:jc w:val="both"/>
      </w:pPr>
      <w:r w:rsidRPr="00043CFC">
        <w:t>La pandemia por COVID-19 reforzó la importancia de esta práctica preventiva y puso de manifiesto la necesidad de integrar la higiene de manos dentro de la cultura de seguridad de todas las organizaciones. Actualmente, los programas de promoción de la higiene de manos forman parte de las estrategias de prevención de infecciones y de promoción de la salud en numerosos centros sanitarios y no sanitarios.</w:t>
      </w:r>
    </w:p>
    <w:p w14:paraId="3640FA92" w14:textId="77777777" w:rsidR="00043CFC" w:rsidRPr="00043CFC" w:rsidRDefault="00043CFC" w:rsidP="00043CFC">
      <w:pPr>
        <w:jc w:val="both"/>
      </w:pPr>
      <w:r w:rsidRPr="00043CFC">
        <w:t>Objetivo</w:t>
      </w:r>
    </w:p>
    <w:p w14:paraId="75D98CE0" w14:textId="77777777" w:rsidR="00043CFC" w:rsidRPr="00043CFC" w:rsidRDefault="00043CFC" w:rsidP="00043CFC">
      <w:pPr>
        <w:jc w:val="both"/>
      </w:pPr>
      <w:r w:rsidRPr="00043CFC">
        <w:t>Analizar la importancia de la higiene de manos como medida de prevención de infecciones y describir las recomendaciones dirigidas al personal sanitario y no sanitario para favorecer un adecuado cumplimiento de esta práctica.</w:t>
      </w:r>
    </w:p>
    <w:p w14:paraId="35FE6569" w14:textId="77777777" w:rsidR="00043CFC" w:rsidRPr="00043CFC" w:rsidRDefault="00043CFC" w:rsidP="00043CFC">
      <w:pPr>
        <w:jc w:val="both"/>
      </w:pPr>
      <w:r w:rsidRPr="00043CFC">
        <w:t>Material y método</w:t>
      </w:r>
    </w:p>
    <w:p w14:paraId="7B8546AE" w14:textId="77777777" w:rsidR="00043CFC" w:rsidRPr="00043CFC" w:rsidRDefault="00043CFC" w:rsidP="00043CFC">
      <w:pPr>
        <w:jc w:val="both"/>
      </w:pPr>
      <w:r w:rsidRPr="00043CFC">
        <w:t xml:space="preserve">Se realizó una revisión bibliográfica descriptiva mediante la consulta de artículos científicos, guías clínicas y documentos institucionales publicados entre 2015 y 2025. Se revisaron las bases de datos PubMed, </w:t>
      </w:r>
      <w:proofErr w:type="spellStart"/>
      <w:r w:rsidRPr="00043CFC">
        <w:t>Scopus</w:t>
      </w:r>
      <w:proofErr w:type="spellEnd"/>
      <w:r w:rsidRPr="00043CFC">
        <w:t xml:space="preserve"> y Google Scholar, así como publicaciones de organismos nacionales e internacionales relacionadas con la prevención y el control de infecciones.</w:t>
      </w:r>
    </w:p>
    <w:p w14:paraId="42F583BC" w14:textId="77777777" w:rsidR="00043CFC" w:rsidRPr="00043CFC" w:rsidRDefault="00043CFC" w:rsidP="00043CFC">
      <w:pPr>
        <w:jc w:val="both"/>
      </w:pPr>
      <w:r w:rsidRPr="00043CFC">
        <w:t>Se incluyeron estudios sobre adherencia a la higiene de manos, métodos de desinfección, factores que influyen en su cumplimiento y estrategias de mejora en diferentes entornos laborales.</w:t>
      </w:r>
    </w:p>
    <w:p w14:paraId="5FCBAD52" w14:textId="77777777" w:rsidR="00043CFC" w:rsidRPr="00043CFC" w:rsidRDefault="00043CFC" w:rsidP="00043CFC">
      <w:pPr>
        <w:jc w:val="both"/>
      </w:pPr>
      <w:r w:rsidRPr="00043CFC">
        <w:t>Resultados</w:t>
      </w:r>
    </w:p>
    <w:p w14:paraId="23C4FD74" w14:textId="77777777" w:rsidR="00043CFC" w:rsidRPr="00043CFC" w:rsidRDefault="00043CFC" w:rsidP="00043CFC">
      <w:pPr>
        <w:jc w:val="both"/>
      </w:pPr>
      <w:r w:rsidRPr="00043CFC">
        <w:t xml:space="preserve">Los estudios revisados coinciden en señalar que una adecuada higiene de manos reduce significativamente la transmisión de microorganismos responsables de infecciones respiratorias, digestivas y de contacto. La utilización de soluciones </w:t>
      </w:r>
      <w:r w:rsidRPr="00043CFC">
        <w:lastRenderedPageBreak/>
        <w:t>hidroalcohólicas cuando las manos no presentan suciedad visible ha demostrado ser rápida, eficaz y bien aceptada por los profesionales.</w:t>
      </w:r>
    </w:p>
    <w:p w14:paraId="573C1CBD" w14:textId="77777777" w:rsidR="00043CFC" w:rsidRPr="00043CFC" w:rsidRDefault="00043CFC" w:rsidP="00043CFC">
      <w:pPr>
        <w:jc w:val="both"/>
      </w:pPr>
      <w:r w:rsidRPr="00043CFC">
        <w:t>En el ámbito sanitario, la aplicación de los protocolos establecidos antes y después del contacto con el paciente, así como antes de realizar procedimientos limpios o tras la exposición a fluidos biológicos, disminuye la incidencia de infecciones relacionadas con la asistencia sanitaria y mejora la seguridad del paciente.</w:t>
      </w:r>
    </w:p>
    <w:p w14:paraId="38275115" w14:textId="77777777" w:rsidR="00043CFC" w:rsidRPr="00043CFC" w:rsidRDefault="00043CFC" w:rsidP="00043CFC">
      <w:pPr>
        <w:jc w:val="both"/>
      </w:pPr>
      <w:r w:rsidRPr="00043CFC">
        <w:t>En el personal no sanitario, la higiene de manos reduce la propagación de enfermedades transmisibles entre trabajadores y usuarios, especialmente en actividades con atención al público, manipulación de alimentos, limpieza, mantenimiento o gestión administrativa.</w:t>
      </w:r>
    </w:p>
    <w:p w14:paraId="575E64F9" w14:textId="77777777" w:rsidR="00043CFC" w:rsidRPr="00043CFC" w:rsidRDefault="00043CFC" w:rsidP="00043CFC">
      <w:pPr>
        <w:jc w:val="both"/>
      </w:pPr>
      <w:r w:rsidRPr="00043CFC">
        <w:t>La evidencia científica también destaca que la disponibilidad de puntos de higiene, la formación continuada, la señalización visual y las campañas de sensibilización incrementan el cumplimiento de esta práctica. Asimismo, mantener las uñas cortas, evitar el uso de joyas durante la jornada laboral y cuidar el estado de la piel favorecen una correcta higiene de las manos.</w:t>
      </w:r>
    </w:p>
    <w:p w14:paraId="5B549632" w14:textId="77777777" w:rsidR="00043CFC" w:rsidRPr="00043CFC" w:rsidRDefault="00043CFC" w:rsidP="00043CFC">
      <w:pPr>
        <w:jc w:val="both"/>
      </w:pPr>
      <w:r w:rsidRPr="00043CFC">
        <w:t>Las organizaciones que promueven programas de higiene de manos presentan menores tasas de absentismo por enfermedades infecciosas y un mayor compromiso con la seguridad y la salud laboral.</w:t>
      </w:r>
    </w:p>
    <w:p w14:paraId="5712F206" w14:textId="77777777" w:rsidR="00043CFC" w:rsidRPr="00043CFC" w:rsidRDefault="00043CFC" w:rsidP="00043CFC">
      <w:pPr>
        <w:jc w:val="both"/>
      </w:pPr>
      <w:r w:rsidRPr="00043CFC">
        <w:t>Conclusiones</w:t>
      </w:r>
    </w:p>
    <w:p w14:paraId="0CDBC5AC" w14:textId="77777777" w:rsidR="00043CFC" w:rsidRPr="00043CFC" w:rsidRDefault="00043CFC" w:rsidP="00043CFC">
      <w:pPr>
        <w:jc w:val="both"/>
      </w:pPr>
      <w:r w:rsidRPr="00043CFC">
        <w:t>La higiene de manos representa una medida preventiva esencial para todos los trabajadores, independientemente de su categoría profesional. Su correcta realización contribuye a reducir la transmisión de microorganismos, proteger la salud de los profesionales y mejorar la seguridad de pacientes, usuarios y compañeros.</w:t>
      </w:r>
    </w:p>
    <w:p w14:paraId="663B03C4" w14:textId="77777777" w:rsidR="00043CFC" w:rsidRPr="00043CFC" w:rsidRDefault="00043CFC" w:rsidP="00043CFC">
      <w:pPr>
        <w:jc w:val="both"/>
      </w:pPr>
      <w:r w:rsidRPr="00043CFC">
        <w:t>La formación continua, la disponibilidad de recursos adecuados y la promoción de hábitos saludables son elementos fundamentales para mantener una elevada adherencia a esta práctica.</w:t>
      </w:r>
    </w:p>
    <w:p w14:paraId="010C5D75" w14:textId="77777777" w:rsidR="00043CFC" w:rsidRPr="00043CFC" w:rsidRDefault="00043CFC" w:rsidP="00043CFC">
      <w:pPr>
        <w:jc w:val="both"/>
        <w:rPr>
          <w:lang w:val="en-GB"/>
        </w:rPr>
      </w:pPr>
      <w:r w:rsidRPr="00043CFC">
        <w:t xml:space="preserve">Fomentar una cultura preventiva basada en la higiene de manos supone una inversión eficaz para mejorar la calidad de los servicios, disminuir las infecciones y promover entornos laborales más seguros y saludables. </w:t>
      </w:r>
      <w:proofErr w:type="spellStart"/>
      <w:r w:rsidRPr="00043CFC">
        <w:rPr>
          <w:lang w:val="en-GB"/>
        </w:rPr>
        <w:t>Bibliografía</w:t>
      </w:r>
      <w:proofErr w:type="spellEnd"/>
    </w:p>
    <w:p w14:paraId="526A1085" w14:textId="77777777" w:rsidR="00043CFC" w:rsidRPr="00043CFC" w:rsidRDefault="00043CFC" w:rsidP="00043CFC">
      <w:pPr>
        <w:jc w:val="both"/>
        <w:rPr>
          <w:lang w:val="en-GB"/>
        </w:rPr>
      </w:pPr>
      <w:r w:rsidRPr="00043CFC">
        <w:rPr>
          <w:lang w:val="en-GB"/>
        </w:rPr>
        <w:t>*</w:t>
      </w:r>
      <w:r w:rsidRPr="00043CFC">
        <w:rPr>
          <w:lang w:val="en-GB"/>
        </w:rPr>
        <w:tab/>
        <w:t>Organización Mundial de la Salud. (2023). *WHO Guidelines on Hand Hygiene in Health Care*.</w:t>
      </w:r>
    </w:p>
    <w:p w14:paraId="4A088EF1" w14:textId="77777777" w:rsidR="00043CFC" w:rsidRPr="00043CFC" w:rsidRDefault="00043CFC" w:rsidP="00043CFC">
      <w:pPr>
        <w:jc w:val="both"/>
        <w:rPr>
          <w:lang w:val="en-GB"/>
        </w:rPr>
      </w:pPr>
      <w:r w:rsidRPr="00043CFC">
        <w:rPr>
          <w:lang w:val="en-GB"/>
        </w:rPr>
        <w:t>*</w:t>
      </w:r>
      <w:r w:rsidRPr="00043CFC">
        <w:rPr>
          <w:lang w:val="en-GB"/>
        </w:rPr>
        <w:tab/>
      </w:r>
      <w:proofErr w:type="spellStart"/>
      <w:r w:rsidRPr="00043CFC">
        <w:rPr>
          <w:lang w:val="en-GB"/>
        </w:rPr>
        <w:t>Centers</w:t>
      </w:r>
      <w:proofErr w:type="spellEnd"/>
      <w:r w:rsidRPr="00043CFC">
        <w:rPr>
          <w:lang w:val="en-GB"/>
        </w:rPr>
        <w:t xml:space="preserve"> for Disease Control and Prevention. (2024). *Hand Hygiene in Healthcare Settings*.</w:t>
      </w:r>
    </w:p>
    <w:p w14:paraId="45608393" w14:textId="77777777" w:rsidR="00043CFC" w:rsidRPr="00226AFD" w:rsidRDefault="00043CFC" w:rsidP="00043CFC">
      <w:pPr>
        <w:jc w:val="both"/>
        <w:rPr>
          <w:lang w:val="en-GB"/>
        </w:rPr>
      </w:pPr>
      <w:r w:rsidRPr="00043CFC">
        <w:t>*</w:t>
      </w:r>
      <w:r w:rsidRPr="00043CFC">
        <w:tab/>
        <w:t>Ministerio de Sanidad. (2024). *Programa de Higiene de Manos del Sistema Nacional de Salud</w:t>
      </w:r>
      <w:proofErr w:type="gramStart"/>
      <w:r w:rsidRPr="00043CFC">
        <w:t>*.*</w:t>
      </w:r>
      <w:proofErr w:type="gramEnd"/>
      <w:r w:rsidRPr="00043CFC">
        <w:t xml:space="preserve"> </w:t>
      </w:r>
      <w:r w:rsidRPr="00043CFC">
        <w:rPr>
          <w:lang w:val="en-GB"/>
        </w:rPr>
        <w:t xml:space="preserve">Allegranzi, B., &amp; Didier Pittet. (2020). Hand hygiene: A key </w:t>
      </w:r>
      <w:r w:rsidRPr="00043CFC">
        <w:rPr>
          <w:lang w:val="en-GB"/>
        </w:rPr>
        <w:lastRenderedPageBreak/>
        <w:t xml:space="preserve">measure for preventing </w:t>
      </w:r>
      <w:proofErr w:type="spellStart"/>
      <w:r w:rsidRPr="00043CFC">
        <w:rPr>
          <w:lang w:val="en-GB"/>
        </w:rPr>
        <w:t>healthcareassociated</w:t>
      </w:r>
      <w:proofErr w:type="spellEnd"/>
      <w:r w:rsidRPr="00043CFC">
        <w:rPr>
          <w:lang w:val="en-GB"/>
        </w:rPr>
        <w:t xml:space="preserve"> infections. </w:t>
      </w:r>
      <w:r w:rsidRPr="00226AFD">
        <w:rPr>
          <w:lang w:val="en-GB"/>
        </w:rPr>
        <w:t>*The Lancet Infectious Diseases*, 20(7), 765-776.</w:t>
      </w:r>
    </w:p>
    <w:p w14:paraId="09C68E89" w14:textId="22A477F2" w:rsidR="00EF3408" w:rsidRDefault="00043CFC" w:rsidP="00043CFC">
      <w:pPr>
        <w:jc w:val="both"/>
      </w:pPr>
      <w:r w:rsidRPr="00226AFD">
        <w:rPr>
          <w:lang w:val="en-GB"/>
        </w:rPr>
        <w:t>*</w:t>
      </w:r>
      <w:r w:rsidRPr="00226AFD">
        <w:rPr>
          <w:lang w:val="en-GB"/>
        </w:rPr>
        <w:tab/>
        <w:t xml:space="preserve">Erasmus, V., Daha, T. J., Brug, H., et al. (2018). </w:t>
      </w:r>
      <w:r w:rsidRPr="00043CFC">
        <w:rPr>
          <w:lang w:val="en-GB"/>
        </w:rPr>
        <w:t xml:space="preserve">Systematic review of studies on compliance with hand hygiene guidelines in hospital care. </w:t>
      </w:r>
      <w:r w:rsidRPr="00043CFC">
        <w:t>*</w:t>
      </w:r>
      <w:proofErr w:type="spellStart"/>
      <w:r w:rsidRPr="00043CFC">
        <w:t>Infection</w:t>
      </w:r>
      <w:proofErr w:type="spellEnd"/>
      <w:r w:rsidRPr="00043CFC">
        <w:t xml:space="preserve"> Control &amp; Hospital </w:t>
      </w:r>
      <w:proofErr w:type="spellStart"/>
      <w:r w:rsidRPr="00043CFC">
        <w:t>Epidemiology</w:t>
      </w:r>
      <w:proofErr w:type="spellEnd"/>
      <w:r w:rsidRPr="00043CFC">
        <w:t>*, 31(3), 283294.</w:t>
      </w:r>
    </w:p>
    <w:p w14:paraId="323FAFB9" w14:textId="77777777" w:rsidR="00043CFC" w:rsidRDefault="00043CFC" w:rsidP="00043CFC">
      <w:pPr>
        <w:jc w:val="both"/>
      </w:pPr>
    </w:p>
    <w:p w14:paraId="081668EE" w14:textId="77777777" w:rsidR="00043CFC" w:rsidRDefault="00043CFC" w:rsidP="00043CFC">
      <w:pPr>
        <w:jc w:val="both"/>
      </w:pPr>
    </w:p>
    <w:p w14:paraId="284BDEB4" w14:textId="77777777" w:rsidR="00043CFC" w:rsidRDefault="00043CFC" w:rsidP="00043CFC">
      <w:pPr>
        <w:jc w:val="both"/>
      </w:pPr>
    </w:p>
    <w:p w14:paraId="270F43DF" w14:textId="77777777" w:rsidR="00043CFC" w:rsidRDefault="00043CFC" w:rsidP="00043CFC">
      <w:pPr>
        <w:jc w:val="both"/>
      </w:pPr>
    </w:p>
    <w:p w14:paraId="41D24D8C" w14:textId="77777777" w:rsidR="00043CFC" w:rsidRDefault="00043CFC" w:rsidP="00043CFC">
      <w:pPr>
        <w:jc w:val="both"/>
      </w:pPr>
    </w:p>
    <w:p w14:paraId="61093060" w14:textId="77777777" w:rsidR="00043CFC" w:rsidRDefault="00043CFC" w:rsidP="00043CFC">
      <w:pPr>
        <w:jc w:val="both"/>
      </w:pPr>
    </w:p>
    <w:p w14:paraId="4CEB5CFB" w14:textId="77777777" w:rsidR="00043CFC" w:rsidRDefault="00043CFC" w:rsidP="00043CFC">
      <w:pPr>
        <w:jc w:val="both"/>
      </w:pPr>
    </w:p>
    <w:p w14:paraId="46C9C315" w14:textId="77777777" w:rsidR="00043CFC" w:rsidRDefault="00043CFC" w:rsidP="00043CFC">
      <w:pPr>
        <w:jc w:val="both"/>
      </w:pPr>
    </w:p>
    <w:p w14:paraId="5765BD0A" w14:textId="77777777" w:rsidR="00043CFC" w:rsidRDefault="00043CFC" w:rsidP="00043CFC">
      <w:pPr>
        <w:jc w:val="both"/>
      </w:pPr>
    </w:p>
    <w:p w14:paraId="4FF2A23F" w14:textId="77777777" w:rsidR="00043CFC" w:rsidRDefault="00043CFC" w:rsidP="00043CFC">
      <w:pPr>
        <w:jc w:val="both"/>
      </w:pPr>
    </w:p>
    <w:p w14:paraId="0972218D" w14:textId="77777777" w:rsidR="00043CFC" w:rsidRDefault="00043CFC" w:rsidP="00043CFC">
      <w:pPr>
        <w:jc w:val="both"/>
      </w:pPr>
    </w:p>
    <w:p w14:paraId="49D6BB32" w14:textId="77777777" w:rsidR="00043CFC" w:rsidRDefault="00043CFC" w:rsidP="00043CFC">
      <w:pPr>
        <w:jc w:val="both"/>
      </w:pPr>
    </w:p>
    <w:p w14:paraId="7EDDAF60" w14:textId="77777777" w:rsidR="00043CFC" w:rsidRDefault="00043CFC" w:rsidP="00043CFC">
      <w:pPr>
        <w:jc w:val="both"/>
      </w:pPr>
    </w:p>
    <w:p w14:paraId="5A020584" w14:textId="77777777" w:rsidR="00043CFC" w:rsidRDefault="00043CFC" w:rsidP="00043CFC">
      <w:pPr>
        <w:jc w:val="both"/>
      </w:pPr>
    </w:p>
    <w:p w14:paraId="3166909A" w14:textId="77777777" w:rsidR="00043CFC" w:rsidRDefault="00043CFC" w:rsidP="00043CFC">
      <w:pPr>
        <w:jc w:val="both"/>
      </w:pPr>
    </w:p>
    <w:p w14:paraId="3C06D32B" w14:textId="77777777" w:rsidR="00043CFC" w:rsidRDefault="00043CFC" w:rsidP="00043CFC">
      <w:pPr>
        <w:jc w:val="both"/>
      </w:pPr>
    </w:p>
    <w:p w14:paraId="6742C094" w14:textId="77777777" w:rsidR="00043CFC" w:rsidRDefault="00043CFC" w:rsidP="00043CFC">
      <w:pPr>
        <w:jc w:val="both"/>
      </w:pPr>
    </w:p>
    <w:p w14:paraId="49322763" w14:textId="77777777" w:rsidR="00043CFC" w:rsidRDefault="00043CFC" w:rsidP="00043CFC">
      <w:pPr>
        <w:jc w:val="both"/>
      </w:pPr>
    </w:p>
    <w:p w14:paraId="2B00843F" w14:textId="77777777" w:rsidR="00043CFC" w:rsidRDefault="00043CFC" w:rsidP="00043CFC">
      <w:pPr>
        <w:jc w:val="both"/>
      </w:pPr>
    </w:p>
    <w:p w14:paraId="613EC112" w14:textId="77777777" w:rsidR="00043CFC" w:rsidRDefault="00043CFC" w:rsidP="00043CFC">
      <w:pPr>
        <w:jc w:val="both"/>
      </w:pPr>
    </w:p>
    <w:p w14:paraId="6D2BF5D2" w14:textId="77777777" w:rsidR="00043CFC" w:rsidRDefault="00043CFC" w:rsidP="00043CFC">
      <w:pPr>
        <w:jc w:val="both"/>
      </w:pPr>
    </w:p>
    <w:p w14:paraId="083CC264" w14:textId="77777777" w:rsidR="00043CFC" w:rsidRDefault="00043CFC" w:rsidP="00043CFC">
      <w:pPr>
        <w:jc w:val="both"/>
      </w:pPr>
    </w:p>
    <w:p w14:paraId="1F25CC67" w14:textId="77777777" w:rsidR="00043CFC" w:rsidRDefault="00043CFC" w:rsidP="00043CFC">
      <w:pPr>
        <w:jc w:val="both"/>
      </w:pPr>
    </w:p>
    <w:p w14:paraId="31BF88BC" w14:textId="77777777" w:rsidR="00043CFC" w:rsidRDefault="00043CFC" w:rsidP="00043CFC">
      <w:pPr>
        <w:jc w:val="both"/>
      </w:pPr>
    </w:p>
    <w:p w14:paraId="5D3C5C41" w14:textId="77777777" w:rsidR="006D5C34" w:rsidRPr="006D5C34" w:rsidRDefault="006D5C34" w:rsidP="006D5C34">
      <w:pPr>
        <w:jc w:val="both"/>
      </w:pPr>
      <w:r w:rsidRPr="006D5C34">
        <w:rPr>
          <w:b/>
        </w:rPr>
        <w:lastRenderedPageBreak/>
        <w:t>Mindfulness en el entorno laboral: una estrategia para mejorar el bienestar del personal sanitario y no sanitario</w:t>
      </w:r>
    </w:p>
    <w:p w14:paraId="6FAC046C" w14:textId="77777777" w:rsidR="006D5C34" w:rsidRPr="006D5C34" w:rsidRDefault="006D5C34" w:rsidP="006D5C34">
      <w:pPr>
        <w:jc w:val="both"/>
        <w:rPr>
          <w:b/>
        </w:rPr>
      </w:pPr>
      <w:r w:rsidRPr="006D5C34">
        <w:rPr>
          <w:b/>
        </w:rPr>
        <w:t>Introducción</w:t>
      </w:r>
    </w:p>
    <w:p w14:paraId="3532A922" w14:textId="77777777" w:rsidR="006D5C34" w:rsidRPr="006D5C34" w:rsidRDefault="006D5C34" w:rsidP="006D5C34">
      <w:pPr>
        <w:jc w:val="both"/>
      </w:pPr>
      <w:r w:rsidRPr="006D5C34">
        <w:t>El mindfulness, también conocido como atención plena, consiste en dirigir la atención de manera consciente al momento presente con una actitud de aceptación y sin emitir juicios. En las últimas décadas, esta práctica ha adquirido una gran relevancia en el ámbito laboral debido a la creciente evidencia científica que respalda sus beneficios sobre la salud mental, la regulación emocional y el rendimiento profesional.</w:t>
      </w:r>
    </w:p>
    <w:p w14:paraId="738F479A" w14:textId="77777777" w:rsidR="006D5C34" w:rsidRPr="006D5C34" w:rsidRDefault="006D5C34" w:rsidP="006D5C34">
      <w:pPr>
        <w:jc w:val="both"/>
      </w:pPr>
      <w:r w:rsidRPr="006D5C34">
        <w:t>Los trabajadores sanitarios y no sanitarios se enfrentan diariamente a múltiples factores de estrés, como la elevada carga de trabajo, la presión por cumplir objetivos, la atención continuada a usuarios, la gestión de situaciones imprevistas y la necesidad de mantener un alto nivel de concentración. Estas circunstancias pueden favorecer la aparición de ansiedad, fatiga, disminución de la motivación y agotamiento emocional.</w:t>
      </w:r>
    </w:p>
    <w:p w14:paraId="5ABADF5F" w14:textId="77777777" w:rsidR="006D5C34" w:rsidRPr="006D5C34" w:rsidRDefault="006D5C34" w:rsidP="006D5C34">
      <w:pPr>
        <w:jc w:val="both"/>
      </w:pPr>
      <w:r w:rsidRPr="006D5C34">
        <w:t>La incorporación de programas de mindfulness en las organizaciones se plantea como una intervención complementaria para promover el bienestar de los trabajadores. No obstante, la evidencia científica señala que estas intervenciones son más eficaces cuando se integran junto con medidas organizativas que mejoran las condiciones de trabajo y reducen los factores estresantes.</w:t>
      </w:r>
    </w:p>
    <w:p w14:paraId="4E18263D" w14:textId="77777777" w:rsidR="006D5C34" w:rsidRPr="006D5C34" w:rsidRDefault="006D5C34" w:rsidP="006D5C34">
      <w:pPr>
        <w:jc w:val="both"/>
        <w:rPr>
          <w:b/>
        </w:rPr>
      </w:pPr>
      <w:r w:rsidRPr="006D5C34">
        <w:rPr>
          <w:b/>
        </w:rPr>
        <w:t>Objetivo</w:t>
      </w:r>
    </w:p>
    <w:p w14:paraId="0F7FCD20" w14:textId="77777777" w:rsidR="006D5C34" w:rsidRPr="006D5C34" w:rsidRDefault="006D5C34" w:rsidP="006D5C34">
      <w:pPr>
        <w:jc w:val="both"/>
      </w:pPr>
      <w:r w:rsidRPr="006D5C34">
        <w:t>Analizar los beneficios del mindfulness como herramienta para promover el bienestar físico y emocional del personal sanitario y no sanitario, así como identificar las principales estrategias para su incorporación en el entorno laboral.</w:t>
      </w:r>
    </w:p>
    <w:p w14:paraId="34ED0BBC" w14:textId="77777777" w:rsidR="006D5C34" w:rsidRPr="006D5C34" w:rsidRDefault="006D5C34" w:rsidP="006D5C34">
      <w:pPr>
        <w:jc w:val="both"/>
        <w:rPr>
          <w:b/>
        </w:rPr>
      </w:pPr>
      <w:r w:rsidRPr="006D5C34">
        <w:rPr>
          <w:b/>
        </w:rPr>
        <w:t>Material y método</w:t>
      </w:r>
    </w:p>
    <w:p w14:paraId="04E7ED3D" w14:textId="77777777" w:rsidR="006D5C34" w:rsidRPr="006D5C34" w:rsidRDefault="006D5C34" w:rsidP="006D5C34">
      <w:pPr>
        <w:jc w:val="both"/>
      </w:pPr>
      <w:r w:rsidRPr="006D5C34">
        <w:t xml:space="preserve">Se realizó una revisión bibliográfica descriptiva mediante la consulta de artículos científicos, revisiones sistemáticas y documentos especializados publicados entre 2015 y 2025. Las fuentes consultadas incluyeron PubMed, </w:t>
      </w:r>
      <w:proofErr w:type="spellStart"/>
      <w:r w:rsidRPr="006D5C34">
        <w:t>Scopus</w:t>
      </w:r>
      <w:proofErr w:type="spellEnd"/>
      <w:r w:rsidRPr="006D5C34">
        <w:t>, Google Scholar y revistas especializadas en salud ocupacional, psicología del trabajo y bienestar organizacional.</w:t>
      </w:r>
    </w:p>
    <w:p w14:paraId="5084EAA4" w14:textId="77777777" w:rsidR="006D5C34" w:rsidRPr="006D5C34" w:rsidRDefault="006D5C34" w:rsidP="006D5C34">
      <w:pPr>
        <w:jc w:val="both"/>
      </w:pPr>
      <w:r w:rsidRPr="006D5C34">
        <w:t>Se seleccionaron investigaciones que evaluaban la eficacia de los programas de mindfulness sobre variables como el estrés laboral, la satisfacción profesional, la concentración, la resiliencia y la calidad de vida de los trabajadores.</w:t>
      </w:r>
    </w:p>
    <w:p w14:paraId="162A793C" w14:textId="77777777" w:rsidR="006D5C34" w:rsidRPr="006D5C34" w:rsidRDefault="006D5C34" w:rsidP="006D5C34">
      <w:pPr>
        <w:jc w:val="both"/>
        <w:rPr>
          <w:b/>
        </w:rPr>
      </w:pPr>
      <w:r w:rsidRPr="006D5C34">
        <w:rPr>
          <w:b/>
        </w:rPr>
        <w:t>Resultados</w:t>
      </w:r>
    </w:p>
    <w:p w14:paraId="7679BC99" w14:textId="77777777" w:rsidR="006D5C34" w:rsidRPr="006D5C34" w:rsidRDefault="006D5C34" w:rsidP="006D5C34">
      <w:pPr>
        <w:jc w:val="both"/>
      </w:pPr>
      <w:r w:rsidRPr="006D5C34">
        <w:t xml:space="preserve">La revisión de la literatura muestra que la práctica regular del mindfulness se asocia con una reducción significativa del estrés percibido, una mejor regulación </w:t>
      </w:r>
      <w:r w:rsidRPr="006D5C34">
        <w:lastRenderedPageBreak/>
        <w:t>emocional y un aumento de la capacidad de atención. Asimismo, diversos estudios indican mejoras en la satisfacción laboral, la resiliencia y las relaciones interpersonales dentro de los equipos de trabajo. ([</w:t>
      </w:r>
      <w:proofErr w:type="spellStart"/>
      <w:r w:rsidRPr="006D5C34">
        <w:t>ScienceDirect</w:t>
      </w:r>
      <w:proofErr w:type="spellEnd"/>
      <w:r w:rsidRPr="006D5C34">
        <w:t xml:space="preserve">][2]) En el personal sanitario, los programas de atención plena han demostrado disminuir el agotamiento emocional, favorecer una comunicación más empática con los pacientes y mejorar la toma de decisiones en situaciones de elevada presión asistencial. Estas intervenciones también se relacionan con una menor incidencia de síntomas compatibles con el síndrome de burnout. </w:t>
      </w:r>
    </w:p>
    <w:p w14:paraId="37453690" w14:textId="77777777" w:rsidR="006D5C34" w:rsidRPr="006D5C34" w:rsidRDefault="006D5C34" w:rsidP="006D5C34">
      <w:pPr>
        <w:jc w:val="both"/>
      </w:pPr>
      <w:r w:rsidRPr="006D5C34">
        <w:t xml:space="preserve">En el personal no sanitario, la práctica del mindfulness favorece una mejor gestión del tiempo, incrementa la capacidad de concentración y mejora la adaptación ante cambios organizativos. Además, los trabajadores refieren una mayor sensación de bienestar y una disminución de la ansiedad relacionada con el trabajo. </w:t>
      </w:r>
    </w:p>
    <w:p w14:paraId="754B0B40" w14:textId="77777777" w:rsidR="006D5C34" w:rsidRPr="006D5C34" w:rsidRDefault="006D5C34" w:rsidP="006D5C34">
      <w:pPr>
        <w:jc w:val="both"/>
      </w:pPr>
      <w:r w:rsidRPr="006D5C34">
        <w:t xml:space="preserve">Las intervenciones más eficaces incluyen ejercicios breves de respiración consciente, pausas de atención plena durante la jornada, meditación guiada y programas estructurados de ocho semanas adaptados al entorno laboral. No obstante, la evidencia indica que estas estrategias deben complementar, y no sustituir, las medidas destinadas a mejorar la organización del trabajo y reducir los riesgos psicosociales. </w:t>
      </w:r>
    </w:p>
    <w:p w14:paraId="5AFB8764" w14:textId="77777777" w:rsidR="006D5C34" w:rsidRPr="006D5C34" w:rsidRDefault="006D5C34" w:rsidP="006D5C34">
      <w:pPr>
        <w:jc w:val="both"/>
        <w:rPr>
          <w:b/>
        </w:rPr>
      </w:pPr>
      <w:r w:rsidRPr="006D5C34">
        <w:rPr>
          <w:b/>
        </w:rPr>
        <w:t>Conclusiones</w:t>
      </w:r>
    </w:p>
    <w:p w14:paraId="7E85EBF4" w14:textId="77777777" w:rsidR="006D5C34" w:rsidRPr="006D5C34" w:rsidRDefault="006D5C34" w:rsidP="006D5C34">
      <w:pPr>
        <w:jc w:val="both"/>
      </w:pPr>
      <w:r w:rsidRPr="006D5C34">
        <w:t>El mindfulness constituye una herramienta útil para mejorar el bienestar psicológico del personal sanitario y no sanitario, favoreciendo una mejor gestión del estrés, una mayor concentración y unas relaciones laborales más saludables.</w:t>
      </w:r>
    </w:p>
    <w:p w14:paraId="72B9EDAB" w14:textId="77777777" w:rsidR="006D5C34" w:rsidRPr="006D5C34" w:rsidRDefault="006D5C34" w:rsidP="006D5C34">
      <w:pPr>
        <w:jc w:val="both"/>
      </w:pPr>
      <w:r w:rsidRPr="006D5C34">
        <w:t>Su incorporación dentro de los programas de promoción de la salud laboral puede contribuir a reducir el desgaste profesional y mejorar el clima organizacional, siempre que se acompañe de políticas orientadas a optimizar las condiciones de trabajo.</w:t>
      </w:r>
    </w:p>
    <w:p w14:paraId="61DFA70A" w14:textId="77777777" w:rsidR="006D5C34" w:rsidRPr="006D5C34" w:rsidRDefault="006D5C34" w:rsidP="006D5C34">
      <w:pPr>
        <w:jc w:val="both"/>
      </w:pPr>
      <w:r w:rsidRPr="006D5C34">
        <w:t>La formación en mindfulness, junto con una adecuada organización laboral y el apoyo institucional, representa una estrategia eficaz para fomentar entornos laborales más saludables, resilientes y orientados al bienestar de los trabajadores.</w:t>
      </w:r>
    </w:p>
    <w:p w14:paraId="5C181674" w14:textId="77777777" w:rsidR="006D5C34" w:rsidRPr="006D5C34" w:rsidRDefault="006D5C34" w:rsidP="006D5C34">
      <w:pPr>
        <w:jc w:val="both"/>
        <w:rPr>
          <w:b/>
        </w:rPr>
      </w:pPr>
      <w:r w:rsidRPr="006D5C34">
        <w:rPr>
          <w:b/>
        </w:rPr>
        <w:t>Bibliografía</w:t>
      </w:r>
    </w:p>
    <w:p w14:paraId="23224898" w14:textId="77777777" w:rsidR="006D5C34" w:rsidRPr="006D5C34" w:rsidRDefault="006D5C34" w:rsidP="006D5C34">
      <w:pPr>
        <w:numPr>
          <w:ilvl w:val="0"/>
          <w:numId w:val="51"/>
        </w:numPr>
        <w:jc w:val="both"/>
      </w:pPr>
      <w:r w:rsidRPr="006D5C34">
        <w:rPr>
          <w:lang w:val="en-GB"/>
        </w:rPr>
        <w:t xml:space="preserve">Jon Kabat-Zinn. (2017). *Mindfulness for Beginners*. </w:t>
      </w:r>
      <w:proofErr w:type="spellStart"/>
      <w:r w:rsidRPr="006D5C34">
        <w:t>Sounds</w:t>
      </w:r>
      <w:proofErr w:type="spellEnd"/>
      <w:r w:rsidRPr="006D5C34">
        <w:t xml:space="preserve"> True.</w:t>
      </w:r>
    </w:p>
    <w:p w14:paraId="7547AAA2" w14:textId="77777777" w:rsidR="006D5C34" w:rsidRPr="006D5C34" w:rsidRDefault="006D5C34" w:rsidP="006D5C34">
      <w:pPr>
        <w:numPr>
          <w:ilvl w:val="0"/>
          <w:numId w:val="51"/>
        </w:numPr>
        <w:jc w:val="both"/>
      </w:pPr>
      <w:r w:rsidRPr="006D5C34">
        <w:rPr>
          <w:lang w:val="en-GB"/>
        </w:rPr>
        <w:t xml:space="preserve">Vonderlin, R., Biermann, M., Bohus, M., &amp; Lyssenko, L. (2020). *Mindfulness-Based Programs in the Workplace: A Meta-Analysis of Randomized Controlled Trials*. </w:t>
      </w:r>
      <w:r w:rsidRPr="006D5C34">
        <w:t>*Mindfulness*.</w:t>
      </w:r>
    </w:p>
    <w:p w14:paraId="596A0AA0" w14:textId="77777777" w:rsidR="006D5C34" w:rsidRPr="006D5C34" w:rsidRDefault="006D5C34" w:rsidP="006D5C34">
      <w:pPr>
        <w:numPr>
          <w:ilvl w:val="0"/>
          <w:numId w:val="51"/>
        </w:numPr>
        <w:jc w:val="both"/>
      </w:pPr>
      <w:r w:rsidRPr="006D5C34">
        <w:rPr>
          <w:lang w:val="en-GB"/>
        </w:rPr>
        <w:t xml:space="preserve">Stuart-Edwards, A., MacDonald, A., &amp; Ansari, M. A. (2023). *Twenty Years of Research on Mindfulness at Work: A Structured Literature Review*. *Journal of </w:t>
      </w:r>
      <w:r w:rsidRPr="006D5C34">
        <w:rPr>
          <w:lang w:val="en-GB"/>
        </w:rPr>
        <w:lastRenderedPageBreak/>
        <w:t xml:space="preserve">Business Research*. * Carmona-Rincón, I., et al. (2022). *Eudaimonic Well-being and Mindfulness Meditation in the Workplace: A Systematic Review*. </w:t>
      </w:r>
      <w:r w:rsidRPr="006D5C34">
        <w:t>*Anales de Psicología*.</w:t>
      </w:r>
    </w:p>
    <w:p w14:paraId="54268D0B" w14:textId="77777777" w:rsidR="006D5C34" w:rsidRPr="006D5C34" w:rsidRDefault="006D5C34" w:rsidP="006D5C34">
      <w:pPr>
        <w:numPr>
          <w:ilvl w:val="0"/>
          <w:numId w:val="51"/>
        </w:numPr>
        <w:jc w:val="both"/>
      </w:pPr>
      <w:r w:rsidRPr="006D5C34">
        <w:t>Organización Mundial de la Salud. (2022). *Mental Health at Work*.</w:t>
      </w:r>
    </w:p>
    <w:p w14:paraId="7DF7AE46" w14:textId="77777777" w:rsidR="00043CFC" w:rsidRDefault="00043CFC" w:rsidP="00043CFC">
      <w:pPr>
        <w:jc w:val="both"/>
      </w:pPr>
    </w:p>
    <w:p w14:paraId="451FCE61" w14:textId="77777777" w:rsidR="006D5C34" w:rsidRDefault="006D5C34" w:rsidP="00043CFC">
      <w:pPr>
        <w:jc w:val="both"/>
      </w:pPr>
    </w:p>
    <w:p w14:paraId="7910F6EF" w14:textId="77777777" w:rsidR="006D5C34" w:rsidRDefault="006D5C34" w:rsidP="00043CFC">
      <w:pPr>
        <w:jc w:val="both"/>
      </w:pPr>
    </w:p>
    <w:p w14:paraId="560D1054" w14:textId="77777777" w:rsidR="006D5C34" w:rsidRDefault="006D5C34" w:rsidP="00043CFC">
      <w:pPr>
        <w:jc w:val="both"/>
      </w:pPr>
    </w:p>
    <w:p w14:paraId="5EC1D7F6" w14:textId="77777777" w:rsidR="006D5C34" w:rsidRDefault="006D5C34" w:rsidP="00043CFC">
      <w:pPr>
        <w:jc w:val="both"/>
      </w:pPr>
    </w:p>
    <w:p w14:paraId="4C1AC04F" w14:textId="77777777" w:rsidR="006D5C34" w:rsidRDefault="006D5C34" w:rsidP="00043CFC">
      <w:pPr>
        <w:jc w:val="both"/>
      </w:pPr>
    </w:p>
    <w:p w14:paraId="5D8FD497" w14:textId="77777777" w:rsidR="006D5C34" w:rsidRDefault="006D5C34" w:rsidP="00043CFC">
      <w:pPr>
        <w:jc w:val="both"/>
      </w:pPr>
    </w:p>
    <w:p w14:paraId="0C61A6CC" w14:textId="77777777" w:rsidR="006D5C34" w:rsidRDefault="006D5C34" w:rsidP="00043CFC">
      <w:pPr>
        <w:jc w:val="both"/>
      </w:pPr>
    </w:p>
    <w:p w14:paraId="1080B119" w14:textId="77777777" w:rsidR="006D5C34" w:rsidRDefault="006D5C34" w:rsidP="00043CFC">
      <w:pPr>
        <w:jc w:val="both"/>
      </w:pPr>
    </w:p>
    <w:p w14:paraId="694C50C6" w14:textId="77777777" w:rsidR="006D5C34" w:rsidRDefault="006D5C34" w:rsidP="00043CFC">
      <w:pPr>
        <w:jc w:val="both"/>
      </w:pPr>
    </w:p>
    <w:p w14:paraId="7E46ED5F" w14:textId="77777777" w:rsidR="006D5C34" w:rsidRDefault="006D5C34" w:rsidP="00043CFC">
      <w:pPr>
        <w:jc w:val="both"/>
      </w:pPr>
    </w:p>
    <w:p w14:paraId="546A618E" w14:textId="77777777" w:rsidR="006D5C34" w:rsidRDefault="006D5C34" w:rsidP="00043CFC">
      <w:pPr>
        <w:jc w:val="both"/>
      </w:pPr>
    </w:p>
    <w:p w14:paraId="3824BD6B" w14:textId="77777777" w:rsidR="006D5C34" w:rsidRDefault="006D5C34" w:rsidP="00043CFC">
      <w:pPr>
        <w:jc w:val="both"/>
      </w:pPr>
    </w:p>
    <w:p w14:paraId="75E9D2E8" w14:textId="77777777" w:rsidR="006D5C34" w:rsidRDefault="006D5C34" w:rsidP="00043CFC">
      <w:pPr>
        <w:jc w:val="both"/>
      </w:pPr>
    </w:p>
    <w:p w14:paraId="73D88C4F" w14:textId="77777777" w:rsidR="006D5C34" w:rsidRDefault="006D5C34" w:rsidP="00043CFC">
      <w:pPr>
        <w:jc w:val="both"/>
      </w:pPr>
    </w:p>
    <w:p w14:paraId="6BB435BA" w14:textId="77777777" w:rsidR="006D5C34" w:rsidRDefault="006D5C34" w:rsidP="00043CFC">
      <w:pPr>
        <w:jc w:val="both"/>
      </w:pPr>
    </w:p>
    <w:p w14:paraId="30DBBC54" w14:textId="77777777" w:rsidR="006D5C34" w:rsidRDefault="006D5C34" w:rsidP="00043CFC">
      <w:pPr>
        <w:jc w:val="both"/>
      </w:pPr>
    </w:p>
    <w:p w14:paraId="1547B55A" w14:textId="77777777" w:rsidR="006D5C34" w:rsidRDefault="006D5C34" w:rsidP="00043CFC">
      <w:pPr>
        <w:jc w:val="both"/>
      </w:pPr>
    </w:p>
    <w:p w14:paraId="0ABE52F7" w14:textId="77777777" w:rsidR="006D5C34" w:rsidRDefault="006D5C34" w:rsidP="00043CFC">
      <w:pPr>
        <w:jc w:val="both"/>
      </w:pPr>
    </w:p>
    <w:p w14:paraId="7F408929" w14:textId="77777777" w:rsidR="006D5C34" w:rsidRDefault="006D5C34" w:rsidP="00043CFC">
      <w:pPr>
        <w:jc w:val="both"/>
      </w:pPr>
    </w:p>
    <w:p w14:paraId="0ECC4D67" w14:textId="77777777" w:rsidR="006D5C34" w:rsidRDefault="006D5C34" w:rsidP="00043CFC">
      <w:pPr>
        <w:jc w:val="both"/>
      </w:pPr>
    </w:p>
    <w:p w14:paraId="05BDE880" w14:textId="77777777" w:rsidR="006D5C34" w:rsidRDefault="006D5C34" w:rsidP="00043CFC">
      <w:pPr>
        <w:jc w:val="both"/>
      </w:pPr>
    </w:p>
    <w:p w14:paraId="7E56DB96" w14:textId="77777777" w:rsidR="006D5C34" w:rsidRDefault="006D5C34" w:rsidP="00043CFC">
      <w:pPr>
        <w:jc w:val="both"/>
      </w:pPr>
    </w:p>
    <w:p w14:paraId="704A3761" w14:textId="77777777" w:rsidR="006D5C34" w:rsidRDefault="006D5C34" w:rsidP="00043CFC">
      <w:pPr>
        <w:jc w:val="both"/>
      </w:pPr>
    </w:p>
    <w:p w14:paraId="5858F813" w14:textId="77777777" w:rsidR="006D5C34" w:rsidRDefault="006D5C34" w:rsidP="00043CFC">
      <w:pPr>
        <w:jc w:val="both"/>
      </w:pPr>
    </w:p>
    <w:p w14:paraId="6332DF80" w14:textId="77777777" w:rsidR="00D013ED" w:rsidRDefault="00D013ED" w:rsidP="00D013ED">
      <w:pPr>
        <w:jc w:val="both"/>
        <w:rPr>
          <w:b/>
        </w:rPr>
      </w:pPr>
      <w:r w:rsidRPr="00D013ED">
        <w:rPr>
          <w:b/>
        </w:rPr>
        <w:lastRenderedPageBreak/>
        <w:t>Protección de datos: responsabilidad compartida del personal sanitario y no sanitario</w:t>
      </w:r>
    </w:p>
    <w:p w14:paraId="6AD0A38E" w14:textId="0D35C77E" w:rsidR="00D013ED" w:rsidRPr="00D013ED" w:rsidRDefault="00D013ED" w:rsidP="00D013ED">
      <w:pPr>
        <w:jc w:val="both"/>
        <w:rPr>
          <w:b/>
        </w:rPr>
      </w:pPr>
      <w:r w:rsidRPr="00D013ED">
        <w:rPr>
          <w:b/>
        </w:rPr>
        <w:t xml:space="preserve"> Introducción</w:t>
      </w:r>
    </w:p>
    <w:p w14:paraId="611F6F80" w14:textId="77777777" w:rsidR="00D013ED" w:rsidRPr="00D013ED" w:rsidRDefault="00D013ED" w:rsidP="00D013ED">
      <w:pPr>
        <w:jc w:val="both"/>
      </w:pPr>
      <w:r w:rsidRPr="00D013ED">
        <w:t>La protección de datos personales se ha convertido en un elemento esencial dentro de las organizaciones modernas, especialmente en aquellas que gestionan información sensible de usuarios, pacientes, trabajadores o ciudadanos. La digitalización de los procesos y el uso generalizado de sistemas informáticos han incrementado la cantidad de datos almacenados y compartidos, haciendo imprescindible la adopción de medidas que garanticen su seguridad y confidencialidad.</w:t>
      </w:r>
    </w:p>
    <w:p w14:paraId="0E057784" w14:textId="77777777" w:rsidR="00D013ED" w:rsidRPr="00D013ED" w:rsidRDefault="00D013ED" w:rsidP="00D013ED">
      <w:pPr>
        <w:jc w:val="both"/>
      </w:pPr>
      <w:r w:rsidRPr="00D013ED">
        <w:t xml:space="preserve">En el ámbito sanitario, los datos de salud son considerados categorías especiales de datos y cuentan con una protección reforzada debido a su carácter sensible. El acceso, tratamiento y conservación de esta información deben realizarse conforme a la normativa vigente y únicamente por personal autorizado. </w:t>
      </w:r>
    </w:p>
    <w:p w14:paraId="02C6B9A8" w14:textId="77777777" w:rsidR="00D013ED" w:rsidRPr="00D013ED" w:rsidRDefault="00D013ED" w:rsidP="00D013ED">
      <w:pPr>
        <w:jc w:val="both"/>
      </w:pPr>
      <w:r w:rsidRPr="00D013ED">
        <w:t>Sin embargo, la responsabilidad sobre la protección de datos no recae exclusivamente en los profesionales sanitarios. El personal administrativo, de atención al público, mantenimiento, limpieza, informática y otros servicios también puede tener acceso a información personal durante el desarrollo de sus funciones. Por ello, todos los trabajadores deben conocer las medidas básicas destinadas a proteger la privacidad y evitar incidentes de seguridad.</w:t>
      </w:r>
    </w:p>
    <w:p w14:paraId="1CCD0613" w14:textId="77777777" w:rsidR="00D013ED" w:rsidRPr="00D013ED" w:rsidRDefault="00D013ED" w:rsidP="00D013ED">
      <w:pPr>
        <w:jc w:val="both"/>
      </w:pPr>
      <w:r w:rsidRPr="00D013ED">
        <w:t xml:space="preserve">La correcta gestión de la información contribuye a fortalecer la confianza de los usuarios, mejorar la calidad de los servicios y garantizar el cumplimiento de la legislación vigente. </w:t>
      </w:r>
    </w:p>
    <w:p w14:paraId="006EC88C" w14:textId="77777777" w:rsidR="00D013ED" w:rsidRPr="00D013ED" w:rsidRDefault="00D013ED" w:rsidP="00D013ED">
      <w:pPr>
        <w:jc w:val="both"/>
        <w:rPr>
          <w:b/>
        </w:rPr>
      </w:pPr>
      <w:r w:rsidRPr="00D013ED">
        <w:rPr>
          <w:b/>
        </w:rPr>
        <w:t>Objetivo</w:t>
      </w:r>
    </w:p>
    <w:p w14:paraId="35104B79" w14:textId="77777777" w:rsidR="00D013ED" w:rsidRPr="00D013ED" w:rsidRDefault="00D013ED" w:rsidP="00D013ED">
      <w:pPr>
        <w:jc w:val="both"/>
      </w:pPr>
      <w:r w:rsidRPr="00D013ED">
        <w:t>Analizar la importancia de la protección de datos en el entorno laboral y describir las principales medidas preventivas que deben aplicar tanto el personal sanitario como el no sanitario para garantizar la confidencialidad y seguridad de la información.</w:t>
      </w:r>
    </w:p>
    <w:p w14:paraId="4D2C25AB" w14:textId="77777777" w:rsidR="00D013ED" w:rsidRPr="00D013ED" w:rsidRDefault="00D013ED" w:rsidP="00D013ED">
      <w:pPr>
        <w:jc w:val="both"/>
        <w:rPr>
          <w:b/>
        </w:rPr>
      </w:pPr>
      <w:r w:rsidRPr="00D013ED">
        <w:rPr>
          <w:b/>
        </w:rPr>
        <w:t>Material y método</w:t>
      </w:r>
    </w:p>
    <w:p w14:paraId="31ADE5C1" w14:textId="77777777" w:rsidR="00D013ED" w:rsidRPr="00D013ED" w:rsidRDefault="00D013ED" w:rsidP="00D013ED">
      <w:pPr>
        <w:jc w:val="both"/>
      </w:pPr>
      <w:r w:rsidRPr="00D013ED">
        <w:t xml:space="preserve">Se realizó una revisión bibliográfica descriptiva mediante la consulta de guías institucionales, normativa vigente y publicaciones relacionadas con la protección de datos publicadas entre 2018 y 2025. Se revisaron documentos de la Agencia Española de Protección de Datos, del Ministerio de Sanidad y de organismos especializados en seguridad de la información. </w:t>
      </w:r>
    </w:p>
    <w:p w14:paraId="7753E9FD" w14:textId="77777777" w:rsidR="00D013ED" w:rsidRPr="00D013ED" w:rsidRDefault="00D013ED" w:rsidP="00D013ED">
      <w:pPr>
        <w:jc w:val="both"/>
        <w:rPr>
          <w:b/>
        </w:rPr>
      </w:pPr>
      <w:r w:rsidRPr="00D013ED">
        <w:rPr>
          <w:b/>
        </w:rPr>
        <w:t>Resultados</w:t>
      </w:r>
    </w:p>
    <w:p w14:paraId="694476AF" w14:textId="77777777" w:rsidR="00D013ED" w:rsidRPr="00D013ED" w:rsidRDefault="00D013ED" w:rsidP="00D013ED">
      <w:pPr>
        <w:jc w:val="both"/>
      </w:pPr>
      <w:r w:rsidRPr="00D013ED">
        <w:lastRenderedPageBreak/>
        <w:t>La evidencia disponible muestra que una parte importante de las incidencias relacionadas con la protección de datos se debe a errores humanos, como compartir información con personas no autorizadas, dejar documentos visibles o acceder a datos sin necesidad profesional. ([AEPD][3])</w:t>
      </w:r>
    </w:p>
    <w:p w14:paraId="028A0772" w14:textId="77777777" w:rsidR="00D013ED" w:rsidRPr="00D013ED" w:rsidRDefault="00D013ED" w:rsidP="00D013ED">
      <w:pPr>
        <w:jc w:val="both"/>
      </w:pPr>
      <w:r w:rsidRPr="00D013ED">
        <w:t xml:space="preserve">En el ámbito sanitario, el acceso a la historia clínica debe limitarse exclusivamente a los profesionales que necesiten la información para el ejercicio de sus funciones. Del mismo modo, el personal administrativo únicamente puede acceder a aquellos datos necesarios para desempeñar sus tareas laborales. </w:t>
      </w:r>
    </w:p>
    <w:p w14:paraId="044C5B29" w14:textId="77777777" w:rsidR="00D013ED" w:rsidRPr="00D013ED" w:rsidRDefault="00D013ED" w:rsidP="00D013ED">
      <w:pPr>
        <w:jc w:val="both"/>
      </w:pPr>
      <w:r w:rsidRPr="00D013ED">
        <w:t>Entre las medidas preventivas más importantes destacan el uso de contraseñas seguras, el bloqueo de los equipos informáticos cuando no se utilizan, la correcta custodia de documentos en papel y la destrucción segura de información que ya no sea necesaria.</w:t>
      </w:r>
    </w:p>
    <w:p w14:paraId="0051F6F6" w14:textId="77777777" w:rsidR="00D013ED" w:rsidRPr="00D013ED" w:rsidRDefault="00D013ED" w:rsidP="00D013ED">
      <w:pPr>
        <w:jc w:val="both"/>
      </w:pPr>
      <w:r w:rsidRPr="00D013ED">
        <w:t xml:space="preserve">Asimismo, los estudios y guías institucionales señalan la importancia de verificar la identidad de las personas antes de proporcionar información, evitar conversaciones sobre datos personales en espacios públicos y utilizar canales seguros para el intercambio de documentación. </w:t>
      </w:r>
    </w:p>
    <w:p w14:paraId="637BF547" w14:textId="77777777" w:rsidR="00D013ED" w:rsidRPr="00D013ED" w:rsidRDefault="00D013ED" w:rsidP="00D013ED">
      <w:pPr>
        <w:jc w:val="both"/>
      </w:pPr>
      <w:r w:rsidRPr="00D013ED">
        <w:t xml:space="preserve">La formación continua de los trabajadores en materia de protección de datos se asocia con una reducción de incidentes de seguridad y una mayor concienciación sobre la importancia de preservar la privacidad de los usuarios y pacientes. </w:t>
      </w:r>
    </w:p>
    <w:p w14:paraId="257D7F0A" w14:textId="77777777" w:rsidR="00D013ED" w:rsidRPr="00D013ED" w:rsidRDefault="00D013ED" w:rsidP="00D013ED">
      <w:pPr>
        <w:jc w:val="both"/>
        <w:rPr>
          <w:b/>
        </w:rPr>
      </w:pPr>
      <w:r w:rsidRPr="00D013ED">
        <w:rPr>
          <w:b/>
        </w:rPr>
        <w:t>Conclusiones</w:t>
      </w:r>
    </w:p>
    <w:p w14:paraId="5A7F6039" w14:textId="77777777" w:rsidR="00D013ED" w:rsidRPr="00D013ED" w:rsidRDefault="00D013ED" w:rsidP="00D013ED">
      <w:pPr>
        <w:jc w:val="both"/>
      </w:pPr>
      <w:r w:rsidRPr="00D013ED">
        <w:t>La protección de datos constituye una responsabilidad compartida por todo el personal sanitario y no sanitario. El respeto a la confidencialidad y la aplicación de medidas de seguridad adecuadas son fundamentales para garantizar los derechos de las personas y mantener la confianza en las organizaciones.</w:t>
      </w:r>
    </w:p>
    <w:p w14:paraId="639B5062" w14:textId="77777777" w:rsidR="00D013ED" w:rsidRPr="00D013ED" w:rsidRDefault="00D013ED" w:rsidP="00D013ED">
      <w:pPr>
        <w:jc w:val="both"/>
      </w:pPr>
      <w:r w:rsidRPr="00D013ED">
        <w:t>La formación continuada, el cumplimiento de los protocolos internos y el uso responsable de la información permiten minimizar los riesgos asociados al tratamiento de datos personales.</w:t>
      </w:r>
    </w:p>
    <w:p w14:paraId="5867AC19" w14:textId="77777777" w:rsidR="00D013ED" w:rsidRPr="00D013ED" w:rsidRDefault="00D013ED" w:rsidP="00D013ED">
      <w:pPr>
        <w:jc w:val="both"/>
      </w:pPr>
      <w:r w:rsidRPr="00D013ED">
        <w:t>Promover una cultura organizativa basada en la privacidad y la seguridad contribuye a mejorar la calidad de los servicios, prevenir brechas de información y garantizar el cumplimiento de la normativa vigente.</w:t>
      </w:r>
    </w:p>
    <w:p w14:paraId="1C421586" w14:textId="77777777" w:rsidR="00D013ED" w:rsidRPr="00D013ED" w:rsidRDefault="00D013ED" w:rsidP="00D013ED">
      <w:pPr>
        <w:jc w:val="both"/>
        <w:rPr>
          <w:b/>
        </w:rPr>
      </w:pPr>
      <w:r w:rsidRPr="00D013ED">
        <w:rPr>
          <w:b/>
        </w:rPr>
        <w:t>Bibliografía</w:t>
      </w:r>
    </w:p>
    <w:p w14:paraId="2E40725F" w14:textId="77777777" w:rsidR="00D013ED" w:rsidRPr="00D013ED" w:rsidRDefault="00D013ED" w:rsidP="00D013ED">
      <w:pPr>
        <w:numPr>
          <w:ilvl w:val="0"/>
          <w:numId w:val="52"/>
        </w:numPr>
        <w:jc w:val="both"/>
      </w:pPr>
      <w:r w:rsidRPr="00D013ED">
        <w:t>Agencia Española de Protección de Datos. (2025). *Tus derechos en relación con tus datos de salud*. ([AEPD][1])</w:t>
      </w:r>
    </w:p>
    <w:p w14:paraId="7970854B" w14:textId="77777777" w:rsidR="00D013ED" w:rsidRPr="00D013ED" w:rsidRDefault="00D013ED" w:rsidP="00D013ED">
      <w:pPr>
        <w:numPr>
          <w:ilvl w:val="0"/>
          <w:numId w:val="52"/>
        </w:numPr>
        <w:jc w:val="both"/>
      </w:pPr>
      <w:r w:rsidRPr="00D013ED">
        <w:t>Ministerio de Sanidad. (2025). *Protección de Datos Personales*. ([Ministerio de Sanidad][2])</w:t>
      </w:r>
    </w:p>
    <w:p w14:paraId="6CB685D4" w14:textId="77777777" w:rsidR="00D013ED" w:rsidRPr="00D013ED" w:rsidRDefault="00D013ED" w:rsidP="00D013ED">
      <w:pPr>
        <w:numPr>
          <w:ilvl w:val="0"/>
          <w:numId w:val="52"/>
        </w:numPr>
        <w:jc w:val="both"/>
      </w:pPr>
      <w:r w:rsidRPr="00D013ED">
        <w:lastRenderedPageBreak/>
        <w:t xml:space="preserve">Agencia Española de Protección de Datos. (2022). *Guía para profesionales del sector sanitario*. </w:t>
      </w:r>
    </w:p>
    <w:p w14:paraId="31391253" w14:textId="77777777" w:rsidR="00D013ED" w:rsidRPr="00D013ED" w:rsidRDefault="00D013ED" w:rsidP="00D013ED">
      <w:pPr>
        <w:jc w:val="both"/>
      </w:pPr>
      <w:r w:rsidRPr="00D013ED">
        <w:t>([AEPD][6])</w:t>
      </w:r>
    </w:p>
    <w:p w14:paraId="7580BAD0" w14:textId="77777777" w:rsidR="00D013ED" w:rsidRPr="00D013ED" w:rsidRDefault="00D013ED" w:rsidP="00D013ED">
      <w:pPr>
        <w:numPr>
          <w:ilvl w:val="0"/>
          <w:numId w:val="52"/>
        </w:numPr>
        <w:jc w:val="both"/>
      </w:pPr>
      <w:r w:rsidRPr="00D013ED">
        <w:t>Reglamento (UE) 2016/679 del Parlamento Europeo y del Consejo (RGPD). ([Ministerio de Sanidad][2])</w:t>
      </w:r>
    </w:p>
    <w:p w14:paraId="668BB466" w14:textId="77777777" w:rsidR="00D013ED" w:rsidRPr="00D013ED" w:rsidRDefault="00D013ED" w:rsidP="00D013ED">
      <w:pPr>
        <w:numPr>
          <w:ilvl w:val="0"/>
          <w:numId w:val="52"/>
        </w:numPr>
        <w:jc w:val="both"/>
      </w:pPr>
      <w:r w:rsidRPr="00D013ED">
        <w:t>Ley Orgánica 3/2018, de Protección de Datos Personales y garantía de los derechos digitales. ([Ministerio de Sanidad][2])</w:t>
      </w:r>
    </w:p>
    <w:p w14:paraId="78067335" w14:textId="77777777" w:rsidR="006D5C34" w:rsidRDefault="006D5C34" w:rsidP="00043CFC">
      <w:pPr>
        <w:jc w:val="both"/>
      </w:pPr>
    </w:p>
    <w:p w14:paraId="39227AD3" w14:textId="77777777" w:rsidR="00D013ED" w:rsidRDefault="00D013ED" w:rsidP="00043CFC">
      <w:pPr>
        <w:jc w:val="both"/>
      </w:pPr>
    </w:p>
    <w:p w14:paraId="67A5F330" w14:textId="77777777" w:rsidR="00D013ED" w:rsidRDefault="00D013ED" w:rsidP="00043CFC">
      <w:pPr>
        <w:jc w:val="both"/>
      </w:pPr>
    </w:p>
    <w:p w14:paraId="21B3916D" w14:textId="77777777" w:rsidR="00D013ED" w:rsidRDefault="00D013ED" w:rsidP="00043CFC">
      <w:pPr>
        <w:jc w:val="both"/>
      </w:pPr>
    </w:p>
    <w:p w14:paraId="7F45D72B" w14:textId="77777777" w:rsidR="00D013ED" w:rsidRDefault="00D013ED" w:rsidP="00043CFC">
      <w:pPr>
        <w:jc w:val="both"/>
      </w:pPr>
    </w:p>
    <w:p w14:paraId="3A4E5B0B" w14:textId="77777777" w:rsidR="00D013ED" w:rsidRDefault="00D013ED" w:rsidP="00043CFC">
      <w:pPr>
        <w:jc w:val="both"/>
      </w:pPr>
    </w:p>
    <w:p w14:paraId="1A646BE9" w14:textId="77777777" w:rsidR="00D013ED" w:rsidRDefault="00D013ED" w:rsidP="00043CFC">
      <w:pPr>
        <w:jc w:val="both"/>
      </w:pPr>
    </w:p>
    <w:p w14:paraId="3FAE48A8" w14:textId="77777777" w:rsidR="00D013ED" w:rsidRDefault="00D013ED" w:rsidP="00043CFC">
      <w:pPr>
        <w:jc w:val="both"/>
      </w:pPr>
    </w:p>
    <w:p w14:paraId="7DE149B3" w14:textId="77777777" w:rsidR="00D013ED" w:rsidRDefault="00D013ED" w:rsidP="00043CFC">
      <w:pPr>
        <w:jc w:val="both"/>
      </w:pPr>
    </w:p>
    <w:p w14:paraId="024799F1" w14:textId="77777777" w:rsidR="00D013ED" w:rsidRDefault="00D013ED" w:rsidP="00043CFC">
      <w:pPr>
        <w:jc w:val="both"/>
      </w:pPr>
    </w:p>
    <w:p w14:paraId="08DF0201" w14:textId="77777777" w:rsidR="00D013ED" w:rsidRDefault="00D013ED" w:rsidP="00043CFC">
      <w:pPr>
        <w:jc w:val="both"/>
      </w:pPr>
    </w:p>
    <w:p w14:paraId="7135EA0D" w14:textId="77777777" w:rsidR="00D013ED" w:rsidRDefault="00D013ED" w:rsidP="00043CFC">
      <w:pPr>
        <w:jc w:val="both"/>
      </w:pPr>
    </w:p>
    <w:p w14:paraId="6B372128" w14:textId="77777777" w:rsidR="00D013ED" w:rsidRDefault="00D013ED" w:rsidP="00043CFC">
      <w:pPr>
        <w:jc w:val="both"/>
      </w:pPr>
    </w:p>
    <w:p w14:paraId="426958A1" w14:textId="77777777" w:rsidR="00D013ED" w:rsidRDefault="00D013ED" w:rsidP="00043CFC">
      <w:pPr>
        <w:jc w:val="both"/>
      </w:pPr>
    </w:p>
    <w:p w14:paraId="06D0F803" w14:textId="77777777" w:rsidR="00D013ED" w:rsidRDefault="00D013ED" w:rsidP="00043CFC">
      <w:pPr>
        <w:jc w:val="both"/>
      </w:pPr>
    </w:p>
    <w:p w14:paraId="0AB27E1F" w14:textId="77777777" w:rsidR="00D013ED" w:rsidRDefault="00D013ED" w:rsidP="00043CFC">
      <w:pPr>
        <w:jc w:val="both"/>
      </w:pPr>
    </w:p>
    <w:p w14:paraId="315539FB" w14:textId="77777777" w:rsidR="00D013ED" w:rsidRDefault="00D013ED" w:rsidP="00043CFC">
      <w:pPr>
        <w:jc w:val="both"/>
      </w:pPr>
    </w:p>
    <w:p w14:paraId="27FA74A1" w14:textId="77777777" w:rsidR="00D013ED" w:rsidRDefault="00D013ED" w:rsidP="00043CFC">
      <w:pPr>
        <w:jc w:val="both"/>
      </w:pPr>
    </w:p>
    <w:p w14:paraId="49D0E680" w14:textId="77777777" w:rsidR="00D013ED" w:rsidRDefault="00D013ED" w:rsidP="00043CFC">
      <w:pPr>
        <w:jc w:val="both"/>
      </w:pPr>
    </w:p>
    <w:p w14:paraId="00CD8D20" w14:textId="77777777" w:rsidR="00D013ED" w:rsidRDefault="00D013ED" w:rsidP="00043CFC">
      <w:pPr>
        <w:jc w:val="both"/>
      </w:pPr>
    </w:p>
    <w:p w14:paraId="1E21965D" w14:textId="77777777" w:rsidR="00D013ED" w:rsidRDefault="00D013ED" w:rsidP="00043CFC">
      <w:pPr>
        <w:jc w:val="both"/>
      </w:pPr>
    </w:p>
    <w:p w14:paraId="47D064F7" w14:textId="77777777" w:rsidR="00D013ED" w:rsidRDefault="00D013ED" w:rsidP="00043CFC">
      <w:pPr>
        <w:jc w:val="both"/>
      </w:pPr>
    </w:p>
    <w:p w14:paraId="54B73F0B" w14:textId="77777777" w:rsidR="00E71475" w:rsidRPr="00E71475" w:rsidRDefault="00E71475" w:rsidP="00E71475">
      <w:pPr>
        <w:jc w:val="both"/>
      </w:pPr>
      <w:r w:rsidRPr="00E71475">
        <w:rPr>
          <w:b/>
        </w:rPr>
        <w:lastRenderedPageBreak/>
        <w:t>Prevención del síndrome de burnout en el entorno laboral: estrategias para el personal sanitario y no sanitario</w:t>
      </w:r>
    </w:p>
    <w:p w14:paraId="14FA68D5" w14:textId="77777777" w:rsidR="00E71475" w:rsidRPr="00E71475" w:rsidRDefault="00E71475" w:rsidP="00E71475">
      <w:pPr>
        <w:jc w:val="both"/>
        <w:rPr>
          <w:b/>
        </w:rPr>
      </w:pPr>
      <w:r w:rsidRPr="00E71475">
        <w:rPr>
          <w:b/>
        </w:rPr>
        <w:t>Introducción</w:t>
      </w:r>
    </w:p>
    <w:p w14:paraId="65947311" w14:textId="77777777" w:rsidR="00E71475" w:rsidRPr="00E71475" w:rsidRDefault="00E71475" w:rsidP="00E71475">
      <w:pPr>
        <w:jc w:val="both"/>
      </w:pPr>
      <w:r w:rsidRPr="00E71475">
        <w:t>El síndrome de burnout, también conocido como síndrome de desgaste profesional, constituye uno de los principales riesgos psicosociales en el ámbito laboral. Se desarrolla como consecuencia de la exposición prolongada al estrés crónico relacionado con el trabajo y se caracteriza por agotamiento emocional, despersonalización o actitud negativa hacia las tareas y una disminución de la realización personal.</w:t>
      </w:r>
    </w:p>
    <w:p w14:paraId="0B0F3C27" w14:textId="77777777" w:rsidR="00E71475" w:rsidRPr="00E71475" w:rsidRDefault="00E71475" w:rsidP="00E71475">
      <w:pPr>
        <w:jc w:val="both"/>
      </w:pPr>
      <w:r w:rsidRPr="00E71475">
        <w:t>En la actualidad, tanto el personal sanitario como el no sanitario trabajan en entornos cada vez más exigentes, donde la elevada carga laboral, la presión por cumplir objetivos, la necesidad de adaptación continua y la atención a usuarios pueden afectar al bienestar psicológico. Estas circunstancias incrementan el riesgo de desarrollar burnout, con repercusiones sobre la salud de los trabajadores, la productividad y la calidad del servicio.</w:t>
      </w:r>
    </w:p>
    <w:p w14:paraId="62836A00" w14:textId="77777777" w:rsidR="00E71475" w:rsidRPr="00E71475" w:rsidRDefault="00E71475" w:rsidP="00E71475">
      <w:pPr>
        <w:jc w:val="both"/>
      </w:pPr>
      <w:r w:rsidRPr="00E71475">
        <w:t>La prevención del burnout requiere una combinación de medidas organizativas e individuales orientadas a mejorar las condiciones laborales, fortalecer las habilidades personales y promover una cultura de bienestar dentro de las organizaciones.</w:t>
      </w:r>
    </w:p>
    <w:p w14:paraId="668666ED" w14:textId="77777777" w:rsidR="00E71475" w:rsidRPr="00E71475" w:rsidRDefault="00E71475" w:rsidP="00E71475">
      <w:pPr>
        <w:jc w:val="both"/>
        <w:rPr>
          <w:b/>
        </w:rPr>
      </w:pPr>
      <w:r w:rsidRPr="00E71475">
        <w:rPr>
          <w:b/>
        </w:rPr>
        <w:t>Objetivo</w:t>
      </w:r>
    </w:p>
    <w:p w14:paraId="4D2785A3" w14:textId="77777777" w:rsidR="00E71475" w:rsidRPr="00E71475" w:rsidRDefault="00E71475" w:rsidP="00E71475">
      <w:pPr>
        <w:jc w:val="both"/>
      </w:pPr>
      <w:r w:rsidRPr="00E71475">
        <w:t>Analizar los factores de riesgo asociados al síndrome de burnout y describir las principales estrategias de prevención dirigidas al personal sanitario y no sanitario.</w:t>
      </w:r>
    </w:p>
    <w:p w14:paraId="003E9B81" w14:textId="77777777" w:rsidR="00E71475" w:rsidRPr="00E71475" w:rsidRDefault="00E71475" w:rsidP="00E71475">
      <w:pPr>
        <w:jc w:val="both"/>
        <w:rPr>
          <w:b/>
        </w:rPr>
      </w:pPr>
      <w:r w:rsidRPr="00E71475">
        <w:rPr>
          <w:b/>
        </w:rPr>
        <w:t>Material y método</w:t>
      </w:r>
    </w:p>
    <w:p w14:paraId="7CE05CCE" w14:textId="77777777" w:rsidR="00E71475" w:rsidRPr="00E71475" w:rsidRDefault="00E71475" w:rsidP="00E71475">
      <w:pPr>
        <w:jc w:val="both"/>
      </w:pPr>
      <w:r w:rsidRPr="00E71475">
        <w:t xml:space="preserve">Se realizó una revisión bibliográfica descriptiva mediante la consulta de artículos científicos, revisiones sistemáticas y documentos institucionales publicados entre 2016 y 2025. Las bases de datos consultadas fueron PubMed, </w:t>
      </w:r>
      <w:proofErr w:type="spellStart"/>
      <w:r w:rsidRPr="00E71475">
        <w:t>Scopus</w:t>
      </w:r>
      <w:proofErr w:type="spellEnd"/>
      <w:r w:rsidRPr="00E71475">
        <w:t xml:space="preserve"> y Google Scholar, además de informes elaborados por organismos internacionales relacionados con la salud laboral y los riesgos psicosociales.</w:t>
      </w:r>
    </w:p>
    <w:p w14:paraId="46554CD7" w14:textId="77777777" w:rsidR="00E71475" w:rsidRPr="00E71475" w:rsidRDefault="00E71475" w:rsidP="00E71475">
      <w:pPr>
        <w:jc w:val="both"/>
      </w:pPr>
      <w:r w:rsidRPr="00E71475">
        <w:t>Se seleccionaron investigaciones centradas en la prevención del burnout, los factores protectores y las intervenciones destinadas a mejorar el bienestar de los trabajadores.</w:t>
      </w:r>
    </w:p>
    <w:p w14:paraId="51719BA9" w14:textId="77777777" w:rsidR="00E71475" w:rsidRPr="00E71475" w:rsidRDefault="00E71475" w:rsidP="00E71475">
      <w:pPr>
        <w:jc w:val="both"/>
        <w:rPr>
          <w:b/>
        </w:rPr>
      </w:pPr>
      <w:r w:rsidRPr="00E71475">
        <w:rPr>
          <w:b/>
        </w:rPr>
        <w:t>Resultados</w:t>
      </w:r>
    </w:p>
    <w:p w14:paraId="0E6D8E25" w14:textId="77777777" w:rsidR="00E71475" w:rsidRPr="00E71475" w:rsidRDefault="00E71475" w:rsidP="00E71475">
      <w:pPr>
        <w:jc w:val="both"/>
      </w:pPr>
      <w:r w:rsidRPr="00E71475">
        <w:t>La evidencia científica indica que el burnout tiene un origen multifactorial. Entre los factores laborales más relevantes se encuentran la sobrecarga de trabajo, la escasa autonomía, la falta de reconocimiento profesional, la presión temporal, la ambigüedad de funciones y el insuficiente apoyo por parte de la organización.</w:t>
      </w:r>
    </w:p>
    <w:p w14:paraId="1BF2DC90" w14:textId="77777777" w:rsidR="00E71475" w:rsidRPr="00E71475" w:rsidRDefault="00E71475" w:rsidP="00E71475">
      <w:pPr>
        <w:jc w:val="both"/>
      </w:pPr>
      <w:r w:rsidRPr="00E71475">
        <w:lastRenderedPageBreak/>
        <w:t>En el ámbito sanitario, la atención continuada a pacientes, la exposición al sufrimiento, las decisiones complejas y el trabajo a turnos favorecen el agotamiento emocional. En el personal no sanitario, los principales factores de riesgo incluyen la elevada demanda de trabajo, la atención constante al público, los cambios organizativos y la acumulación de tareas administrativas.</w:t>
      </w:r>
    </w:p>
    <w:p w14:paraId="4F043FDA" w14:textId="77777777" w:rsidR="00E71475" w:rsidRPr="00E71475" w:rsidRDefault="00E71475" w:rsidP="00E71475">
      <w:pPr>
        <w:jc w:val="both"/>
      </w:pPr>
      <w:r w:rsidRPr="00E71475">
        <w:t>Los estudios muestran que las organizaciones que desarrollan programas de promoción del bienestar laboral obtienen una reducción significativa de los niveles de estrés y agotamiento profesional. Entre las estrategias más eficaces destacan la distribución equilibrada de las cargas de trabajo, la mejora de la comunicación interna, el fortalecimiento del trabajo en equipo y la participación de los trabajadores en la toma de decisiones.</w:t>
      </w:r>
    </w:p>
    <w:p w14:paraId="7112693B" w14:textId="77777777" w:rsidR="00E71475" w:rsidRPr="00E71475" w:rsidRDefault="00E71475" w:rsidP="00E71475">
      <w:pPr>
        <w:jc w:val="both"/>
      </w:pPr>
      <w:r w:rsidRPr="00E71475">
        <w:t>Desde el punto de vista individual, la práctica de actividad física, el descanso adecuado, el desarrollo de habilidades de gestión emocional, las técnicas de relajación y el establecimiento de límites saludables entre la vida laboral y personal actúan como factores protectores frente al burnout.</w:t>
      </w:r>
    </w:p>
    <w:p w14:paraId="6A5BF0DF" w14:textId="77777777" w:rsidR="00E71475" w:rsidRPr="00E71475" w:rsidRDefault="00E71475" w:rsidP="00E71475">
      <w:pPr>
        <w:jc w:val="both"/>
      </w:pPr>
      <w:r w:rsidRPr="00E71475">
        <w:t>Asimismo, la formación específica para reconocer los primeros signos de desgaste profesional facilita una intervención precoz y reduce el impacto sobre la salud de los trabajadores.</w:t>
      </w:r>
    </w:p>
    <w:p w14:paraId="64347F57" w14:textId="77777777" w:rsidR="00E71475" w:rsidRPr="00E71475" w:rsidRDefault="00E71475" w:rsidP="00E71475">
      <w:pPr>
        <w:jc w:val="both"/>
        <w:rPr>
          <w:b/>
        </w:rPr>
      </w:pPr>
      <w:r w:rsidRPr="00E71475">
        <w:rPr>
          <w:b/>
        </w:rPr>
        <w:t>Conclusiones</w:t>
      </w:r>
    </w:p>
    <w:p w14:paraId="4D060EC3" w14:textId="77777777" w:rsidR="00E71475" w:rsidRPr="00E71475" w:rsidRDefault="00E71475" w:rsidP="00E71475">
      <w:pPr>
        <w:jc w:val="both"/>
      </w:pPr>
      <w:r w:rsidRPr="00E71475">
        <w:t>El síndrome de burnout representa un importante desafío para las organizaciones debido a sus consecuencias sobre la salud, la motivación y el rendimiento de los trabajadores. Su prevención requiere actuaciones dirigidas tanto a mejorar las condiciones organizativas como a fortalecer los recursos personales de los profesionales.</w:t>
      </w:r>
    </w:p>
    <w:p w14:paraId="7C7126BA" w14:textId="77777777" w:rsidR="00E71475" w:rsidRPr="00E71475" w:rsidRDefault="00E71475" w:rsidP="00E71475">
      <w:pPr>
        <w:jc w:val="both"/>
      </w:pPr>
      <w:r w:rsidRPr="00E71475">
        <w:t>La promoción de entornos laborales saludables, el apoyo institucional y la formación continua en salud mental y gestión del estrés constituyen estrategias fundamentales para disminuir el riesgo de desgaste profesional.</w:t>
      </w:r>
    </w:p>
    <w:p w14:paraId="1BE7B03F" w14:textId="77777777" w:rsidR="00E71475" w:rsidRPr="00E71475" w:rsidRDefault="00E71475" w:rsidP="00E71475">
      <w:pPr>
        <w:jc w:val="both"/>
      </w:pPr>
      <w:r w:rsidRPr="00E71475">
        <w:t>Invertir en la prevención del burnout no solo mejora el bienestar del personal sanitario y no sanitario, sino que también favorece una mayor calidad de los servicios, incrementa la satisfacción laboral y fortalece el compromiso con la organización.</w:t>
      </w:r>
    </w:p>
    <w:p w14:paraId="22613256" w14:textId="77777777" w:rsidR="00E71475" w:rsidRPr="00E71475" w:rsidRDefault="00E71475" w:rsidP="00E71475">
      <w:pPr>
        <w:jc w:val="both"/>
        <w:rPr>
          <w:b/>
        </w:rPr>
      </w:pPr>
      <w:r w:rsidRPr="00E71475">
        <w:rPr>
          <w:b/>
        </w:rPr>
        <w:t>Bibliografía</w:t>
      </w:r>
    </w:p>
    <w:p w14:paraId="05D4D1BB" w14:textId="77777777" w:rsidR="00E71475" w:rsidRPr="00E71475" w:rsidRDefault="00E71475" w:rsidP="00E71475">
      <w:pPr>
        <w:numPr>
          <w:ilvl w:val="0"/>
          <w:numId w:val="53"/>
        </w:numPr>
        <w:jc w:val="both"/>
      </w:pPr>
      <w:r w:rsidRPr="00E71475">
        <w:t>Organización Mundial de la Salud. (2022). *Mental Health at Work*.</w:t>
      </w:r>
    </w:p>
    <w:p w14:paraId="507EA728" w14:textId="77777777" w:rsidR="00E71475" w:rsidRPr="00E71475" w:rsidRDefault="00E71475" w:rsidP="00E71475">
      <w:pPr>
        <w:numPr>
          <w:ilvl w:val="0"/>
          <w:numId w:val="53"/>
        </w:numPr>
        <w:jc w:val="both"/>
      </w:pPr>
      <w:r w:rsidRPr="00E71475">
        <w:rPr>
          <w:lang w:val="en-GB"/>
        </w:rPr>
        <w:t xml:space="preserve">Christina Maslach, &amp; Michael P. Leiter. </w:t>
      </w:r>
      <w:r w:rsidRPr="00E71475">
        <w:t>(2016). *Burnout*. Wiley.</w:t>
      </w:r>
    </w:p>
    <w:p w14:paraId="25DF9A86" w14:textId="77777777" w:rsidR="00E71475" w:rsidRPr="00E71475" w:rsidRDefault="00E71475" w:rsidP="00E71475">
      <w:pPr>
        <w:numPr>
          <w:ilvl w:val="0"/>
          <w:numId w:val="53"/>
        </w:numPr>
        <w:jc w:val="both"/>
      </w:pPr>
      <w:proofErr w:type="spellStart"/>
      <w:r w:rsidRPr="00E71475">
        <w:lastRenderedPageBreak/>
        <w:t>Salvagioni</w:t>
      </w:r>
      <w:proofErr w:type="spellEnd"/>
      <w:r w:rsidRPr="00E71475">
        <w:t xml:space="preserve">, D. A. J., </w:t>
      </w:r>
      <w:proofErr w:type="spellStart"/>
      <w:r w:rsidRPr="00E71475">
        <w:t>Melanda</w:t>
      </w:r>
      <w:proofErr w:type="spellEnd"/>
      <w:r w:rsidRPr="00E71475">
        <w:t xml:space="preserve">, F. N., Mesas, A. E., et al. </w:t>
      </w:r>
      <w:r w:rsidRPr="00E71475">
        <w:rPr>
          <w:lang w:val="en-GB"/>
        </w:rPr>
        <w:t xml:space="preserve">(2017). Physical, psychological and occupational consequences of job burnout: A systematic review. </w:t>
      </w:r>
      <w:r w:rsidRPr="00E71475">
        <w:t>*PLOS ONE*, 12(10), e0185781.</w:t>
      </w:r>
    </w:p>
    <w:p w14:paraId="0E37DD3A" w14:textId="77777777" w:rsidR="00E71475" w:rsidRPr="00E71475" w:rsidRDefault="00E71475" w:rsidP="00E71475">
      <w:pPr>
        <w:numPr>
          <w:ilvl w:val="0"/>
          <w:numId w:val="53"/>
        </w:numPr>
        <w:jc w:val="both"/>
      </w:pPr>
      <w:r w:rsidRPr="00E71475">
        <w:rPr>
          <w:lang w:val="en-GB"/>
        </w:rPr>
        <w:t xml:space="preserve">West, C. P., Dyrbye, L. N., &amp; Shanafelt, T. D. (2018). Physician burnout: Contributors, consequences and solutions. </w:t>
      </w:r>
      <w:r w:rsidRPr="00E71475">
        <w:t>*</w:t>
      </w:r>
      <w:proofErr w:type="spellStart"/>
      <w:r w:rsidRPr="00E71475">
        <w:t>Journal</w:t>
      </w:r>
      <w:proofErr w:type="spellEnd"/>
      <w:r w:rsidRPr="00E71475">
        <w:t xml:space="preserve"> </w:t>
      </w:r>
      <w:proofErr w:type="spellStart"/>
      <w:r w:rsidRPr="00E71475">
        <w:t>of</w:t>
      </w:r>
      <w:proofErr w:type="spellEnd"/>
      <w:r w:rsidRPr="00E71475">
        <w:t xml:space="preserve"> </w:t>
      </w:r>
      <w:proofErr w:type="spellStart"/>
      <w:r w:rsidRPr="00E71475">
        <w:t>Internal</w:t>
      </w:r>
      <w:proofErr w:type="spellEnd"/>
      <w:r w:rsidRPr="00E71475">
        <w:t xml:space="preserve"> Medicine*, 283(6), 516–529.</w:t>
      </w:r>
    </w:p>
    <w:p w14:paraId="102EA5AF" w14:textId="77777777" w:rsidR="00E71475" w:rsidRPr="00E71475" w:rsidRDefault="00E71475" w:rsidP="00E71475">
      <w:pPr>
        <w:numPr>
          <w:ilvl w:val="0"/>
          <w:numId w:val="53"/>
        </w:numPr>
        <w:jc w:val="both"/>
      </w:pPr>
      <w:r w:rsidRPr="00E71475">
        <w:t>Instituto Nacional de Seguridad y Salud en el Trabajo. (2024). *Factores psicosociales y bienestar laboral*.</w:t>
      </w:r>
    </w:p>
    <w:p w14:paraId="3D71C957" w14:textId="77777777" w:rsidR="00D013ED" w:rsidRDefault="00D013ED" w:rsidP="00043CFC">
      <w:pPr>
        <w:jc w:val="both"/>
      </w:pPr>
    </w:p>
    <w:p w14:paraId="35117753" w14:textId="77777777" w:rsidR="00E71475" w:rsidRDefault="00E71475" w:rsidP="00043CFC">
      <w:pPr>
        <w:jc w:val="both"/>
      </w:pPr>
    </w:p>
    <w:p w14:paraId="0C84D90D" w14:textId="77777777" w:rsidR="00E71475" w:rsidRDefault="00E71475" w:rsidP="00043CFC">
      <w:pPr>
        <w:jc w:val="both"/>
      </w:pPr>
    </w:p>
    <w:p w14:paraId="6ED57F6F" w14:textId="77777777" w:rsidR="00E71475" w:rsidRDefault="00E71475" w:rsidP="00043CFC">
      <w:pPr>
        <w:jc w:val="both"/>
      </w:pPr>
    </w:p>
    <w:p w14:paraId="3E26F6E1" w14:textId="77777777" w:rsidR="00E71475" w:rsidRDefault="00E71475" w:rsidP="00043CFC">
      <w:pPr>
        <w:jc w:val="both"/>
      </w:pPr>
    </w:p>
    <w:p w14:paraId="7ED731CA" w14:textId="77777777" w:rsidR="00E71475" w:rsidRDefault="00E71475" w:rsidP="00043CFC">
      <w:pPr>
        <w:jc w:val="both"/>
      </w:pPr>
    </w:p>
    <w:p w14:paraId="6816FA73" w14:textId="77777777" w:rsidR="00E71475" w:rsidRDefault="00E71475" w:rsidP="00043CFC">
      <w:pPr>
        <w:jc w:val="both"/>
      </w:pPr>
    </w:p>
    <w:p w14:paraId="243979A6" w14:textId="77777777" w:rsidR="00E71475" w:rsidRDefault="00E71475" w:rsidP="00043CFC">
      <w:pPr>
        <w:jc w:val="both"/>
      </w:pPr>
    </w:p>
    <w:p w14:paraId="3414FB70" w14:textId="77777777" w:rsidR="00E71475" w:rsidRDefault="00E71475" w:rsidP="00043CFC">
      <w:pPr>
        <w:jc w:val="both"/>
      </w:pPr>
    </w:p>
    <w:p w14:paraId="01939B66" w14:textId="77777777" w:rsidR="00E71475" w:rsidRDefault="00E71475" w:rsidP="00043CFC">
      <w:pPr>
        <w:jc w:val="both"/>
      </w:pPr>
    </w:p>
    <w:p w14:paraId="793DB899" w14:textId="77777777" w:rsidR="00E71475" w:rsidRDefault="00E71475" w:rsidP="00043CFC">
      <w:pPr>
        <w:jc w:val="both"/>
      </w:pPr>
    </w:p>
    <w:p w14:paraId="576CE963" w14:textId="77777777" w:rsidR="00E71475" w:rsidRDefault="00E71475" w:rsidP="00043CFC">
      <w:pPr>
        <w:jc w:val="both"/>
      </w:pPr>
    </w:p>
    <w:p w14:paraId="74998A8C" w14:textId="77777777" w:rsidR="00E71475" w:rsidRDefault="00E71475" w:rsidP="00043CFC">
      <w:pPr>
        <w:jc w:val="both"/>
      </w:pPr>
    </w:p>
    <w:p w14:paraId="5D77F363" w14:textId="77777777" w:rsidR="00E71475" w:rsidRDefault="00E71475" w:rsidP="00043CFC">
      <w:pPr>
        <w:jc w:val="both"/>
      </w:pPr>
    </w:p>
    <w:p w14:paraId="4E5EB34B" w14:textId="77777777" w:rsidR="00E71475" w:rsidRDefault="00E71475" w:rsidP="00043CFC">
      <w:pPr>
        <w:jc w:val="both"/>
      </w:pPr>
    </w:p>
    <w:p w14:paraId="05856620" w14:textId="77777777" w:rsidR="00E71475" w:rsidRDefault="00E71475" w:rsidP="00043CFC">
      <w:pPr>
        <w:jc w:val="both"/>
      </w:pPr>
    </w:p>
    <w:p w14:paraId="757C0E2D" w14:textId="77777777" w:rsidR="00E71475" w:rsidRDefault="00E71475" w:rsidP="00043CFC">
      <w:pPr>
        <w:jc w:val="both"/>
      </w:pPr>
    </w:p>
    <w:p w14:paraId="22AA0027" w14:textId="77777777" w:rsidR="00E71475" w:rsidRDefault="00E71475" w:rsidP="00043CFC">
      <w:pPr>
        <w:jc w:val="both"/>
      </w:pPr>
    </w:p>
    <w:p w14:paraId="6C7699AB" w14:textId="77777777" w:rsidR="00E71475" w:rsidRDefault="00E71475" w:rsidP="00043CFC">
      <w:pPr>
        <w:jc w:val="both"/>
      </w:pPr>
    </w:p>
    <w:p w14:paraId="127BC855" w14:textId="77777777" w:rsidR="00E71475" w:rsidRDefault="00E71475" w:rsidP="00043CFC">
      <w:pPr>
        <w:jc w:val="both"/>
      </w:pPr>
    </w:p>
    <w:p w14:paraId="5BBB5F98" w14:textId="77777777" w:rsidR="00E71475" w:rsidRDefault="00E71475" w:rsidP="00043CFC">
      <w:pPr>
        <w:jc w:val="both"/>
      </w:pPr>
    </w:p>
    <w:p w14:paraId="00042426" w14:textId="77777777" w:rsidR="00E71475" w:rsidRDefault="00E71475" w:rsidP="00043CFC">
      <w:pPr>
        <w:jc w:val="both"/>
      </w:pPr>
    </w:p>
    <w:p w14:paraId="524E13F9" w14:textId="77777777" w:rsidR="00F25FB5" w:rsidRPr="00F25FB5" w:rsidRDefault="00F25FB5" w:rsidP="00F25FB5">
      <w:pPr>
        <w:jc w:val="both"/>
      </w:pPr>
      <w:proofErr w:type="gramStart"/>
      <w:r w:rsidRPr="00F25FB5">
        <w:rPr>
          <w:b/>
        </w:rPr>
        <w:lastRenderedPageBreak/>
        <w:t>La asertividad</w:t>
      </w:r>
      <w:proofErr w:type="gramEnd"/>
      <w:r w:rsidRPr="00F25FB5">
        <w:rPr>
          <w:b/>
        </w:rPr>
        <w:t xml:space="preserve"> como herramienta para mejorar la comunicación y el bienestar del personal sanitario y no sanitario</w:t>
      </w:r>
    </w:p>
    <w:p w14:paraId="18612707" w14:textId="77777777" w:rsidR="00F25FB5" w:rsidRPr="00F25FB5" w:rsidRDefault="00F25FB5" w:rsidP="00F25FB5">
      <w:pPr>
        <w:jc w:val="both"/>
        <w:rPr>
          <w:b/>
        </w:rPr>
      </w:pPr>
      <w:r w:rsidRPr="00F25FB5">
        <w:rPr>
          <w:b/>
        </w:rPr>
        <w:t>Introducción</w:t>
      </w:r>
    </w:p>
    <w:p w14:paraId="6222FCC6" w14:textId="77777777" w:rsidR="00F25FB5" w:rsidRPr="00F25FB5" w:rsidRDefault="00F25FB5" w:rsidP="00F25FB5">
      <w:pPr>
        <w:jc w:val="both"/>
      </w:pPr>
      <w:r w:rsidRPr="00F25FB5">
        <w:t>La comunicación eficaz constituye uno de los pilares fundamentales para el correcto funcionamiento de cualquier organización. En los entornos sanitarios y sociosanitarios, donde interactúan diariamente profesionales de distintas categorías y usuarios con necesidades diversas, la capacidad para expresar ideas, opiniones y necesidades de forma clara y respetuosa resulta esencial.</w:t>
      </w:r>
    </w:p>
    <w:p w14:paraId="734831D6" w14:textId="77777777" w:rsidR="00F25FB5" w:rsidRPr="00F25FB5" w:rsidRDefault="00F25FB5" w:rsidP="00F25FB5">
      <w:pPr>
        <w:jc w:val="both"/>
      </w:pPr>
      <w:proofErr w:type="gramStart"/>
      <w:r w:rsidRPr="00F25FB5">
        <w:t>La asertividad</w:t>
      </w:r>
      <w:proofErr w:type="gramEnd"/>
      <w:r w:rsidRPr="00F25FB5">
        <w:t xml:space="preserve"> es una habilidad social que permite comunicar pensamientos, sentimientos y decisiones de manera firme, honesta y respetuosa, defendiendo los propios derechos sin vulnerar los de los demás. Este estilo de comunicación favorece relaciones interpersonales saludables, mejora el trabajo en equipo y contribuye a la resolución de conflictos de forma constructiva.</w:t>
      </w:r>
    </w:p>
    <w:p w14:paraId="33ACCCE3" w14:textId="77777777" w:rsidR="00F25FB5" w:rsidRPr="00F25FB5" w:rsidRDefault="00F25FB5" w:rsidP="00F25FB5">
      <w:pPr>
        <w:jc w:val="both"/>
      </w:pPr>
      <w:r w:rsidRPr="00F25FB5">
        <w:t>Tanto el personal sanitario como el no sanitario pueden enfrentarse a situaciones de presión asistencial, desacuerdos entre compañeros, demandas de pacientes o usuarios y conflictos derivados de la organización del trabajo. En estos contextos, la comunicación asertiva se convierte en una competencia indispensable para mantener un clima laboral positivo y garantizar una atención de calidad.</w:t>
      </w:r>
    </w:p>
    <w:p w14:paraId="073CFAE8" w14:textId="77777777" w:rsidR="00F25FB5" w:rsidRPr="00F25FB5" w:rsidRDefault="00F25FB5" w:rsidP="00F25FB5">
      <w:pPr>
        <w:jc w:val="both"/>
        <w:rPr>
          <w:b/>
        </w:rPr>
      </w:pPr>
      <w:r w:rsidRPr="00F25FB5">
        <w:rPr>
          <w:b/>
        </w:rPr>
        <w:t>Objetivo</w:t>
      </w:r>
    </w:p>
    <w:p w14:paraId="497252F9" w14:textId="77777777" w:rsidR="00F25FB5" w:rsidRPr="00F25FB5" w:rsidRDefault="00F25FB5" w:rsidP="00F25FB5">
      <w:pPr>
        <w:jc w:val="both"/>
      </w:pPr>
      <w:r w:rsidRPr="00F25FB5">
        <w:t xml:space="preserve">Analizar la importancia </w:t>
      </w:r>
      <w:proofErr w:type="gramStart"/>
      <w:r w:rsidRPr="00F25FB5">
        <w:t>de la asertividad</w:t>
      </w:r>
      <w:proofErr w:type="gramEnd"/>
      <w:r w:rsidRPr="00F25FB5">
        <w:t xml:space="preserve"> en el ámbito laboral y describir sus beneficios para la comunicación, la resolución de conflictos y el bienestar del personal sanitario y no sanitario.</w:t>
      </w:r>
    </w:p>
    <w:p w14:paraId="41E5F93E" w14:textId="77777777" w:rsidR="00F25FB5" w:rsidRPr="00F25FB5" w:rsidRDefault="00F25FB5" w:rsidP="00F25FB5">
      <w:pPr>
        <w:jc w:val="both"/>
        <w:rPr>
          <w:b/>
        </w:rPr>
      </w:pPr>
      <w:r w:rsidRPr="00F25FB5">
        <w:rPr>
          <w:b/>
        </w:rPr>
        <w:t>Material y método</w:t>
      </w:r>
    </w:p>
    <w:p w14:paraId="2E9790BF" w14:textId="77777777" w:rsidR="00F25FB5" w:rsidRPr="00F25FB5" w:rsidRDefault="00F25FB5" w:rsidP="00F25FB5">
      <w:pPr>
        <w:jc w:val="both"/>
      </w:pPr>
      <w:r w:rsidRPr="00F25FB5">
        <w:t xml:space="preserve">Se realizó una revisión bibliográfica descriptiva mediante la consulta de artículos científicos, revisiones sistemáticas y documentos técnicos publicados entre 2015 y 2025. Se consultaron las bases de datos PubMed, </w:t>
      </w:r>
      <w:proofErr w:type="spellStart"/>
      <w:r w:rsidRPr="00F25FB5">
        <w:t>Scopus</w:t>
      </w:r>
      <w:proofErr w:type="spellEnd"/>
      <w:r w:rsidRPr="00F25FB5">
        <w:t xml:space="preserve"> y Google Scholar, así como publicaciones especializadas en comunicación interpersonal, psicología organizacional y salud laboral.</w:t>
      </w:r>
    </w:p>
    <w:p w14:paraId="0798C555" w14:textId="77777777" w:rsidR="00F25FB5" w:rsidRPr="00F25FB5" w:rsidRDefault="00F25FB5" w:rsidP="00F25FB5">
      <w:pPr>
        <w:jc w:val="both"/>
      </w:pPr>
      <w:r w:rsidRPr="00F25FB5">
        <w:t>Se seleccionaron estudios que analizaban la relación entre la comunicación asertiva, el clima laboral, la satisfacción profesional y la calidad de la atención prestada.</w:t>
      </w:r>
    </w:p>
    <w:p w14:paraId="0AD70E78" w14:textId="77777777" w:rsidR="00F25FB5" w:rsidRPr="00F25FB5" w:rsidRDefault="00F25FB5" w:rsidP="00F25FB5">
      <w:pPr>
        <w:jc w:val="both"/>
        <w:rPr>
          <w:b/>
        </w:rPr>
      </w:pPr>
      <w:r w:rsidRPr="00F25FB5">
        <w:rPr>
          <w:b/>
        </w:rPr>
        <w:t>Resultados</w:t>
      </w:r>
    </w:p>
    <w:p w14:paraId="7752DB18" w14:textId="77777777" w:rsidR="00F25FB5" w:rsidRPr="00F25FB5" w:rsidRDefault="00F25FB5" w:rsidP="00F25FB5">
      <w:pPr>
        <w:jc w:val="both"/>
      </w:pPr>
      <w:r w:rsidRPr="00F25FB5">
        <w:t xml:space="preserve">La revisión bibliográfica muestra que la comunicación asertiva mejora la calidad de las relaciones laborales y favorece un entorno de trabajo más colaborativo. Los profesionales con mayores habilidades de asertividad presentan una mejor </w:t>
      </w:r>
      <w:r w:rsidRPr="00F25FB5">
        <w:lastRenderedPageBreak/>
        <w:t>capacidad para expresar opiniones, establecer límites adecuados y resolver desacuerdos sin generar conflictos innecesarios.</w:t>
      </w:r>
    </w:p>
    <w:p w14:paraId="40AC2F30" w14:textId="77777777" w:rsidR="00F25FB5" w:rsidRPr="00F25FB5" w:rsidRDefault="00F25FB5" w:rsidP="00F25FB5">
      <w:pPr>
        <w:jc w:val="both"/>
      </w:pPr>
      <w:r w:rsidRPr="00F25FB5">
        <w:t xml:space="preserve">En el ámbito sanitario, </w:t>
      </w:r>
      <w:proofErr w:type="gramStart"/>
      <w:r w:rsidRPr="00F25FB5">
        <w:t>la asertividad</w:t>
      </w:r>
      <w:proofErr w:type="gramEnd"/>
      <w:r w:rsidRPr="00F25FB5">
        <w:t xml:space="preserve"> facilita la transmisión de información entre los miembros del equipo asistencial, mejora la seguridad del paciente y disminuye los errores relacionados con fallos de comunicación. Además, permite afrontar conversaciones difíciles con pacientes y familiares de una forma más empática y respetuosa.</w:t>
      </w:r>
    </w:p>
    <w:p w14:paraId="289B2DDD" w14:textId="77777777" w:rsidR="00F25FB5" w:rsidRPr="00F25FB5" w:rsidRDefault="00F25FB5" w:rsidP="00F25FB5">
      <w:pPr>
        <w:jc w:val="both"/>
      </w:pPr>
      <w:r w:rsidRPr="00F25FB5">
        <w:t>En el personal no sanitario, esta habilidad favorece la atención al público, mejora la coordinación entre departamentos y contribuye a resolver incidencias administrativas con mayor eficacia. También ayuda a gestionar reclamaciones, responder a situaciones de tensión y mantener una actitud profesional incluso en momentos de elevada carga de trabajo.</w:t>
      </w:r>
    </w:p>
    <w:p w14:paraId="643B4090" w14:textId="77777777" w:rsidR="00F25FB5" w:rsidRPr="00F25FB5" w:rsidRDefault="00F25FB5" w:rsidP="00F25FB5">
      <w:pPr>
        <w:jc w:val="both"/>
      </w:pPr>
      <w:r w:rsidRPr="00F25FB5">
        <w:t>Los estudios revisados señalan que la formación en comunicación asertiva incrementa la confianza profesional, mejora la autoestima laboral y reduce los niveles de estrés derivados de las relaciones interpersonales. Entre las técnicas más utilizadas destacan la escucha activa, el empleo de mensajes en primera persona, el lenguaje claro y respetuoso, el control del tono de voz y la capacidad para decir "no" de forma adecuada cuando las circunstancias lo requieren.</w:t>
      </w:r>
    </w:p>
    <w:p w14:paraId="5028C6E1" w14:textId="77777777" w:rsidR="00F25FB5" w:rsidRPr="00F25FB5" w:rsidRDefault="00F25FB5" w:rsidP="00F25FB5">
      <w:pPr>
        <w:jc w:val="both"/>
      </w:pPr>
      <w:r w:rsidRPr="00F25FB5">
        <w:t>Asimismo, las organizaciones que promueven programas de desarrollo de habilidades comunicativas presentan un mejor clima laboral, mayor satisfacción de los trabajadores y una disminución de los conflictos internos.</w:t>
      </w:r>
    </w:p>
    <w:p w14:paraId="4762752A" w14:textId="77777777" w:rsidR="00F25FB5" w:rsidRPr="00F25FB5" w:rsidRDefault="00F25FB5" w:rsidP="00F25FB5">
      <w:pPr>
        <w:jc w:val="both"/>
        <w:rPr>
          <w:b/>
        </w:rPr>
      </w:pPr>
      <w:r w:rsidRPr="00F25FB5">
        <w:rPr>
          <w:b/>
        </w:rPr>
        <w:t>Conclusiones</w:t>
      </w:r>
    </w:p>
    <w:p w14:paraId="2735946A" w14:textId="77777777" w:rsidR="00F25FB5" w:rsidRPr="00F25FB5" w:rsidRDefault="00F25FB5" w:rsidP="00F25FB5">
      <w:pPr>
        <w:jc w:val="both"/>
      </w:pPr>
      <w:proofErr w:type="gramStart"/>
      <w:r w:rsidRPr="00F25FB5">
        <w:t>La asertividad</w:t>
      </w:r>
      <w:proofErr w:type="gramEnd"/>
      <w:r w:rsidRPr="00F25FB5">
        <w:t xml:space="preserve"> constituye una competencia esencial para el personal sanitario y no sanitario, ya que favorece una comunicación eficaz, fortalece las relaciones profesionales y mejora la calidad del servicio prestado a los usuarios.</w:t>
      </w:r>
    </w:p>
    <w:p w14:paraId="4D8B7D46" w14:textId="77777777" w:rsidR="00F25FB5" w:rsidRPr="00F25FB5" w:rsidRDefault="00F25FB5" w:rsidP="00F25FB5">
      <w:pPr>
        <w:jc w:val="both"/>
      </w:pPr>
      <w:r w:rsidRPr="00F25FB5">
        <w:t>El desarrollo de habilidades asertivas contribuye a prevenir conflictos, aumentar la confianza entre compañeros y favorecer un entorno laboral más respetuoso, colaborativo y seguro.</w:t>
      </w:r>
    </w:p>
    <w:p w14:paraId="7B51CD4E" w14:textId="77777777" w:rsidR="00F25FB5" w:rsidRPr="00F25FB5" w:rsidRDefault="00F25FB5" w:rsidP="00F25FB5">
      <w:pPr>
        <w:jc w:val="both"/>
      </w:pPr>
      <w:r w:rsidRPr="00F25FB5">
        <w:t>La incorporación de programas de formación en comunicación y habilidades sociales dentro de los planes de formación continuada representa una estrategia eficaz para mejorar el bienestar de los trabajadores y optimizar el funcionamiento de las organizaciones.</w:t>
      </w:r>
    </w:p>
    <w:p w14:paraId="0C3E123D" w14:textId="77777777" w:rsidR="00F25FB5" w:rsidRPr="00F25FB5" w:rsidRDefault="00F25FB5" w:rsidP="00F25FB5">
      <w:pPr>
        <w:jc w:val="both"/>
        <w:rPr>
          <w:b/>
        </w:rPr>
      </w:pPr>
      <w:r w:rsidRPr="00F25FB5">
        <w:rPr>
          <w:b/>
        </w:rPr>
        <w:t>Bibliografía</w:t>
      </w:r>
    </w:p>
    <w:p w14:paraId="444E6D06" w14:textId="77777777" w:rsidR="00F25FB5" w:rsidRPr="00F25FB5" w:rsidRDefault="00F25FB5" w:rsidP="00F25FB5">
      <w:pPr>
        <w:numPr>
          <w:ilvl w:val="0"/>
          <w:numId w:val="54"/>
        </w:numPr>
        <w:jc w:val="both"/>
      </w:pPr>
      <w:r w:rsidRPr="00F25FB5">
        <w:t>Organización Mundial de la Salud. (2022). *Mental Health at Work*.</w:t>
      </w:r>
    </w:p>
    <w:p w14:paraId="0FB9683C" w14:textId="77777777" w:rsidR="00F25FB5" w:rsidRPr="00F25FB5" w:rsidRDefault="00F25FB5" w:rsidP="00F25FB5">
      <w:pPr>
        <w:numPr>
          <w:ilvl w:val="0"/>
          <w:numId w:val="54"/>
        </w:numPr>
        <w:jc w:val="both"/>
      </w:pPr>
      <w:r w:rsidRPr="00F25FB5">
        <w:rPr>
          <w:lang w:val="en-GB"/>
        </w:rPr>
        <w:t xml:space="preserve">Alberti, R. E., &amp; Emmons, M. L. (2017). *Your Perfect Right: Assertiveness and Equality in Your Life and Relationships*. </w:t>
      </w:r>
      <w:proofErr w:type="spellStart"/>
      <w:r w:rsidRPr="00F25FB5">
        <w:t>Impact</w:t>
      </w:r>
      <w:proofErr w:type="spellEnd"/>
      <w:r w:rsidRPr="00F25FB5">
        <w:t xml:space="preserve"> </w:t>
      </w:r>
      <w:proofErr w:type="spellStart"/>
      <w:r w:rsidRPr="00F25FB5">
        <w:t>Publishers</w:t>
      </w:r>
      <w:proofErr w:type="spellEnd"/>
      <w:r w:rsidRPr="00F25FB5">
        <w:t>.</w:t>
      </w:r>
    </w:p>
    <w:p w14:paraId="56E06C3C" w14:textId="77777777" w:rsidR="00F25FB5" w:rsidRPr="00F25FB5" w:rsidRDefault="00F25FB5" w:rsidP="00F25FB5">
      <w:pPr>
        <w:numPr>
          <w:ilvl w:val="0"/>
          <w:numId w:val="54"/>
        </w:numPr>
        <w:jc w:val="both"/>
      </w:pPr>
      <w:r w:rsidRPr="00F25FB5">
        <w:rPr>
          <w:lang w:val="en-GB"/>
        </w:rPr>
        <w:lastRenderedPageBreak/>
        <w:t xml:space="preserve">Speed, B. C., Goldstein, B. L., &amp; Goldfried, M. R. (2018). Assertiveness training: A forgotten evidence-based treatment. *Clinical Psychology: Science and Practice*, 25(1), e12216. * Robbins, S. P., &amp; Judge, T. A. (2022). </w:t>
      </w:r>
      <w:r w:rsidRPr="00F25FB5">
        <w:t>*Comportamiento Organizacional*. Pearson Educación. * Instituto Nacional de Seguridad y Salud en el Trabajo. (2024). *Factores psicosociales y bienestar en el trabajo*.</w:t>
      </w:r>
    </w:p>
    <w:p w14:paraId="17458B9A" w14:textId="77777777" w:rsidR="00E71475" w:rsidRDefault="00E71475" w:rsidP="00043CFC">
      <w:pPr>
        <w:jc w:val="both"/>
      </w:pPr>
    </w:p>
    <w:p w14:paraId="7BDE4BE9" w14:textId="77777777" w:rsidR="00F25FB5" w:rsidRDefault="00F25FB5" w:rsidP="00043CFC">
      <w:pPr>
        <w:jc w:val="both"/>
      </w:pPr>
    </w:p>
    <w:p w14:paraId="6C085DDA" w14:textId="77777777" w:rsidR="00F25FB5" w:rsidRDefault="00F25FB5" w:rsidP="00043CFC">
      <w:pPr>
        <w:jc w:val="both"/>
      </w:pPr>
    </w:p>
    <w:p w14:paraId="1F951553" w14:textId="77777777" w:rsidR="00F25FB5" w:rsidRDefault="00F25FB5" w:rsidP="00043CFC">
      <w:pPr>
        <w:jc w:val="both"/>
      </w:pPr>
    </w:p>
    <w:p w14:paraId="39572002" w14:textId="77777777" w:rsidR="00F25FB5" w:rsidRDefault="00F25FB5" w:rsidP="00043CFC">
      <w:pPr>
        <w:jc w:val="both"/>
      </w:pPr>
    </w:p>
    <w:p w14:paraId="1C4D4690" w14:textId="77777777" w:rsidR="00F25FB5" w:rsidRDefault="00F25FB5" w:rsidP="00043CFC">
      <w:pPr>
        <w:jc w:val="both"/>
      </w:pPr>
    </w:p>
    <w:p w14:paraId="0FB05375" w14:textId="77777777" w:rsidR="00F25FB5" w:rsidRDefault="00F25FB5" w:rsidP="00043CFC">
      <w:pPr>
        <w:jc w:val="both"/>
      </w:pPr>
    </w:p>
    <w:p w14:paraId="610941ED" w14:textId="77777777" w:rsidR="00F25FB5" w:rsidRDefault="00F25FB5" w:rsidP="00043CFC">
      <w:pPr>
        <w:jc w:val="both"/>
      </w:pPr>
    </w:p>
    <w:p w14:paraId="31976F68" w14:textId="77777777" w:rsidR="00F25FB5" w:rsidRDefault="00F25FB5" w:rsidP="00043CFC">
      <w:pPr>
        <w:jc w:val="both"/>
      </w:pPr>
    </w:p>
    <w:p w14:paraId="3A30E66B" w14:textId="77777777" w:rsidR="00F25FB5" w:rsidRDefault="00F25FB5" w:rsidP="00043CFC">
      <w:pPr>
        <w:jc w:val="both"/>
      </w:pPr>
    </w:p>
    <w:p w14:paraId="212E55C2" w14:textId="77777777" w:rsidR="00F25FB5" w:rsidRDefault="00F25FB5" w:rsidP="00043CFC">
      <w:pPr>
        <w:jc w:val="both"/>
      </w:pPr>
    </w:p>
    <w:p w14:paraId="5D21D4C2" w14:textId="77777777" w:rsidR="00F25FB5" w:rsidRDefault="00F25FB5" w:rsidP="00043CFC">
      <w:pPr>
        <w:jc w:val="both"/>
      </w:pPr>
    </w:p>
    <w:p w14:paraId="770639DA" w14:textId="77777777" w:rsidR="00F25FB5" w:rsidRDefault="00F25FB5" w:rsidP="00043CFC">
      <w:pPr>
        <w:jc w:val="both"/>
      </w:pPr>
    </w:p>
    <w:p w14:paraId="550CFACD" w14:textId="77777777" w:rsidR="00F25FB5" w:rsidRDefault="00F25FB5" w:rsidP="00043CFC">
      <w:pPr>
        <w:jc w:val="both"/>
      </w:pPr>
    </w:p>
    <w:p w14:paraId="5455377B" w14:textId="77777777" w:rsidR="00F25FB5" w:rsidRDefault="00F25FB5" w:rsidP="00043CFC">
      <w:pPr>
        <w:jc w:val="both"/>
      </w:pPr>
    </w:p>
    <w:p w14:paraId="4765D2AD" w14:textId="77777777" w:rsidR="00F25FB5" w:rsidRDefault="00F25FB5" w:rsidP="00043CFC">
      <w:pPr>
        <w:jc w:val="both"/>
      </w:pPr>
    </w:p>
    <w:p w14:paraId="1FF6A022" w14:textId="77777777" w:rsidR="00F25FB5" w:rsidRDefault="00F25FB5" w:rsidP="00043CFC">
      <w:pPr>
        <w:jc w:val="both"/>
      </w:pPr>
    </w:p>
    <w:p w14:paraId="237D1F30" w14:textId="77777777" w:rsidR="00F25FB5" w:rsidRDefault="00F25FB5" w:rsidP="00043CFC">
      <w:pPr>
        <w:jc w:val="both"/>
      </w:pPr>
    </w:p>
    <w:p w14:paraId="4516FA06" w14:textId="77777777" w:rsidR="00F25FB5" w:rsidRDefault="00F25FB5" w:rsidP="00043CFC">
      <w:pPr>
        <w:jc w:val="both"/>
      </w:pPr>
    </w:p>
    <w:p w14:paraId="333471FE" w14:textId="77777777" w:rsidR="00F25FB5" w:rsidRDefault="00F25FB5" w:rsidP="00043CFC">
      <w:pPr>
        <w:jc w:val="both"/>
      </w:pPr>
    </w:p>
    <w:p w14:paraId="440E7A6B" w14:textId="77777777" w:rsidR="00F25FB5" w:rsidRDefault="00F25FB5" w:rsidP="00043CFC">
      <w:pPr>
        <w:jc w:val="both"/>
      </w:pPr>
    </w:p>
    <w:p w14:paraId="616315A7" w14:textId="77777777" w:rsidR="00F25FB5" w:rsidRDefault="00F25FB5" w:rsidP="00043CFC">
      <w:pPr>
        <w:jc w:val="both"/>
      </w:pPr>
    </w:p>
    <w:p w14:paraId="622C8A57" w14:textId="77777777" w:rsidR="00F25FB5" w:rsidRDefault="00F25FB5" w:rsidP="00043CFC">
      <w:pPr>
        <w:jc w:val="both"/>
      </w:pPr>
    </w:p>
    <w:p w14:paraId="3C89C49D" w14:textId="77777777" w:rsidR="00F25FB5" w:rsidRDefault="00F25FB5" w:rsidP="00043CFC">
      <w:pPr>
        <w:jc w:val="both"/>
      </w:pPr>
    </w:p>
    <w:p w14:paraId="58D7CD68" w14:textId="77777777" w:rsidR="00EB7513" w:rsidRPr="00EB7513" w:rsidRDefault="00EB7513" w:rsidP="00EB7513">
      <w:pPr>
        <w:jc w:val="both"/>
      </w:pPr>
      <w:r w:rsidRPr="00EB7513">
        <w:rPr>
          <w:b/>
        </w:rPr>
        <w:lastRenderedPageBreak/>
        <w:t xml:space="preserve">Protección de datos y seguridad digital: prevención de </w:t>
      </w:r>
      <w:proofErr w:type="spellStart"/>
      <w:r w:rsidRPr="00EB7513">
        <w:rPr>
          <w:b/>
        </w:rPr>
        <w:t>ciberincidentes</w:t>
      </w:r>
      <w:proofErr w:type="spellEnd"/>
      <w:r w:rsidRPr="00EB7513">
        <w:rPr>
          <w:b/>
        </w:rPr>
        <w:t xml:space="preserve"> en el personal sanitario y no sanitario</w:t>
      </w:r>
    </w:p>
    <w:p w14:paraId="69EFECD0" w14:textId="77777777" w:rsidR="00EB7513" w:rsidRPr="00EB7513" w:rsidRDefault="00EB7513" w:rsidP="00EB7513">
      <w:pPr>
        <w:jc w:val="both"/>
        <w:rPr>
          <w:b/>
        </w:rPr>
      </w:pPr>
      <w:r w:rsidRPr="00EB7513">
        <w:rPr>
          <w:b/>
        </w:rPr>
        <w:t>Introducción</w:t>
      </w:r>
    </w:p>
    <w:p w14:paraId="345CE631" w14:textId="77777777" w:rsidR="00EB7513" w:rsidRPr="00EB7513" w:rsidRDefault="00EB7513" w:rsidP="00EB7513">
      <w:pPr>
        <w:jc w:val="both"/>
      </w:pPr>
      <w:r w:rsidRPr="00EB7513">
        <w:t>La digitalización de los servicios sanitarios y administrativos ha transformado la forma en que se gestionan los datos personales, facilitando el acceso a la información y mejorando la continuidad de los procesos asistenciales y organizativos. Sin embargo, esta evolución también ha incrementado la exposición a riesgos relacionados con la ciberseguridad y el tratamiento inadecuado de la información.</w:t>
      </w:r>
    </w:p>
    <w:p w14:paraId="6AF7BE97" w14:textId="77777777" w:rsidR="00EB7513" w:rsidRPr="00EB7513" w:rsidRDefault="00EB7513" w:rsidP="00EB7513">
      <w:pPr>
        <w:jc w:val="both"/>
      </w:pPr>
      <w:r w:rsidRPr="00EB7513">
        <w:t>El personal sanitario y no sanitario utiliza diariamente historias clínicas electrónicas, aplicaciones informáticas, correo corporativo y otros sistemas digitales que contienen datos personales de especial sensibilidad. La protección de esta información no depende únicamente de las medidas tecnológicas implantadas por la organización, sino también del comportamiento responsable de todos los profesionales.</w:t>
      </w:r>
    </w:p>
    <w:p w14:paraId="3D578A10" w14:textId="77777777" w:rsidR="00EB7513" w:rsidRPr="00EB7513" w:rsidRDefault="00EB7513" w:rsidP="00EB7513">
      <w:pPr>
        <w:jc w:val="both"/>
      </w:pPr>
      <w:r w:rsidRPr="00EB7513">
        <w:t>Los errores humanos continúan siendo una de las principales causas de las brechas de seguridad. Por ello, resulta imprescindible fomentar una cultura de protección de datos basada en la prevención, la formación y el cumplimiento de las normas de seguridad de la información.</w:t>
      </w:r>
    </w:p>
    <w:p w14:paraId="62584E2B" w14:textId="77777777" w:rsidR="00EB7513" w:rsidRPr="00EB7513" w:rsidRDefault="00EB7513" w:rsidP="00EB7513">
      <w:pPr>
        <w:jc w:val="both"/>
        <w:rPr>
          <w:b/>
        </w:rPr>
      </w:pPr>
      <w:r w:rsidRPr="00EB7513">
        <w:rPr>
          <w:b/>
        </w:rPr>
        <w:t>Objetivo</w:t>
      </w:r>
    </w:p>
    <w:p w14:paraId="70BBB6F6" w14:textId="77777777" w:rsidR="00EB7513" w:rsidRPr="00EB7513" w:rsidRDefault="00EB7513" w:rsidP="00EB7513">
      <w:pPr>
        <w:jc w:val="both"/>
      </w:pPr>
      <w:r w:rsidRPr="00EB7513">
        <w:t xml:space="preserve">Analizar la importancia de la protección de datos en el entorno digital y describir las principales medidas preventivas que deben adoptar el personal sanitario y no sanitario para reducir el riesgo de </w:t>
      </w:r>
      <w:proofErr w:type="spellStart"/>
      <w:r w:rsidRPr="00EB7513">
        <w:t>ciberincidentes</w:t>
      </w:r>
      <w:proofErr w:type="spellEnd"/>
      <w:r w:rsidRPr="00EB7513">
        <w:t xml:space="preserve"> y garantizar la confidencialidad de la información.</w:t>
      </w:r>
    </w:p>
    <w:p w14:paraId="6C66F86C" w14:textId="77777777" w:rsidR="00EB7513" w:rsidRPr="00EB7513" w:rsidRDefault="00EB7513" w:rsidP="00EB7513">
      <w:pPr>
        <w:jc w:val="both"/>
        <w:rPr>
          <w:b/>
        </w:rPr>
      </w:pPr>
      <w:r w:rsidRPr="00EB7513">
        <w:rPr>
          <w:b/>
        </w:rPr>
        <w:t>Material y método</w:t>
      </w:r>
    </w:p>
    <w:p w14:paraId="45552738" w14:textId="77777777" w:rsidR="00EB7513" w:rsidRPr="00EB7513" w:rsidRDefault="00EB7513" w:rsidP="00EB7513">
      <w:pPr>
        <w:jc w:val="both"/>
      </w:pPr>
      <w:r w:rsidRPr="00EB7513">
        <w:t xml:space="preserve">Se realizó una revisión bibliográfica descriptiva mediante la consulta de artículos científicos, documentos técnicos y normativa vigente publicados entre 2018 y 2025. Se revisaron las recomendaciones de la Agencia Española de Protección de Datos, el Centro Criptológico </w:t>
      </w:r>
    </w:p>
    <w:p w14:paraId="6ECE5D0B" w14:textId="77777777" w:rsidR="00EB7513" w:rsidRPr="00EB7513" w:rsidRDefault="00EB7513" w:rsidP="00EB7513">
      <w:pPr>
        <w:jc w:val="both"/>
      </w:pPr>
      <w:r w:rsidRPr="00EB7513">
        <w:t>Nacional, el Instituto Nacional de Ciberseguridad y publicaciones relacionadas con la seguridad de la información en el ámbito sanitario.</w:t>
      </w:r>
    </w:p>
    <w:p w14:paraId="7DD456B2" w14:textId="77777777" w:rsidR="00EB7513" w:rsidRPr="00EB7513" w:rsidRDefault="00EB7513" w:rsidP="00EB7513">
      <w:pPr>
        <w:jc w:val="both"/>
      </w:pPr>
      <w:r w:rsidRPr="00EB7513">
        <w:t>Se seleccionaron documentos sobre protección de datos personales, ciberseguridad, gestión de incidentes y buenas prácticas en el uso de sistemas digitales.</w:t>
      </w:r>
    </w:p>
    <w:p w14:paraId="560ED37D" w14:textId="77777777" w:rsidR="00EB7513" w:rsidRPr="00EB7513" w:rsidRDefault="00EB7513" w:rsidP="00EB7513">
      <w:pPr>
        <w:jc w:val="both"/>
        <w:rPr>
          <w:b/>
        </w:rPr>
      </w:pPr>
      <w:r w:rsidRPr="00EB7513">
        <w:rPr>
          <w:b/>
        </w:rPr>
        <w:t>Resultados</w:t>
      </w:r>
    </w:p>
    <w:p w14:paraId="11D440BF" w14:textId="77777777" w:rsidR="00EB7513" w:rsidRPr="00EB7513" w:rsidRDefault="00EB7513" w:rsidP="00EB7513">
      <w:pPr>
        <w:jc w:val="both"/>
      </w:pPr>
      <w:r w:rsidRPr="00EB7513">
        <w:lastRenderedPageBreak/>
        <w:t>La evidencia científica señala que una parte importante de los incidentes de seguridad se origina por acciones involuntarias de los usuarios, como la utilización de contraseñas débiles, la apertura de correos electrónicos fraudulentos, el uso de dispositivos no autorizados o el envío de información confidencial mediante canales inseguros.</w:t>
      </w:r>
    </w:p>
    <w:p w14:paraId="16C4AD2A" w14:textId="77777777" w:rsidR="00EB7513" w:rsidRPr="00EB7513" w:rsidRDefault="00EB7513" w:rsidP="00EB7513">
      <w:pPr>
        <w:jc w:val="both"/>
      </w:pPr>
      <w:r w:rsidRPr="00EB7513">
        <w:t>Los estudios destacan que la autenticación segura, la actualización periódica de los equipos, el bloqueo automático de las sesiones y la verificación de la identidad de los destinatarios antes de compartir información constituyen medidas eficaces para reducir el riesgo de accesos no autorizados.</w:t>
      </w:r>
    </w:p>
    <w:p w14:paraId="1233EC91" w14:textId="77777777" w:rsidR="00EB7513" w:rsidRPr="00EB7513" w:rsidRDefault="00EB7513" w:rsidP="00EB7513">
      <w:pPr>
        <w:jc w:val="both"/>
      </w:pPr>
      <w:r w:rsidRPr="00EB7513">
        <w:t>En el ámbito sanitario, la utilización de historias clínicas electrónicas exige respetar estrictamente los perfiles de acceso establecidos, consultando únicamente la información necesaria para el desempeño de las funciones profesionales. El personal no sanitario también debe aplicar estas medidas cuando gestiona documentación administrativa, citas, expedientes o comunicaciones internas.</w:t>
      </w:r>
    </w:p>
    <w:p w14:paraId="6D073504" w14:textId="77777777" w:rsidR="00EB7513" w:rsidRPr="00EB7513" w:rsidRDefault="00EB7513" w:rsidP="00EB7513">
      <w:pPr>
        <w:jc w:val="both"/>
      </w:pPr>
      <w:r w:rsidRPr="00EB7513">
        <w:t xml:space="preserve">La revisión pone de manifiesto la importancia de reconocer intentos de fraude como el *phishing*, evitar el uso de redes </w:t>
      </w:r>
      <w:proofErr w:type="gramStart"/>
      <w:r w:rsidRPr="00EB7513">
        <w:t>wifi públicas</w:t>
      </w:r>
      <w:proofErr w:type="gramEnd"/>
      <w:r w:rsidRPr="00EB7513">
        <w:t xml:space="preserve"> para acceder a información corporativa y comunicar inmediatamente cualquier sospecha de incidente al servicio competente.</w:t>
      </w:r>
    </w:p>
    <w:p w14:paraId="4889B916" w14:textId="77777777" w:rsidR="00EB7513" w:rsidRPr="00EB7513" w:rsidRDefault="00EB7513" w:rsidP="00EB7513">
      <w:pPr>
        <w:jc w:val="both"/>
      </w:pPr>
      <w:r w:rsidRPr="00EB7513">
        <w:t>Asimismo, la formación continuada en ciberseguridad mejora significativamente el comportamiento de los profesionales, incrementa el cumplimiento de la normativa y reduce el número de incidentes relacionados con la protección de datos.</w:t>
      </w:r>
    </w:p>
    <w:p w14:paraId="668E6AB7" w14:textId="77777777" w:rsidR="00EB7513" w:rsidRPr="00EB7513" w:rsidRDefault="00EB7513" w:rsidP="00EB7513">
      <w:pPr>
        <w:jc w:val="both"/>
        <w:rPr>
          <w:b/>
        </w:rPr>
      </w:pPr>
      <w:r w:rsidRPr="00EB7513">
        <w:rPr>
          <w:b/>
        </w:rPr>
        <w:t>Conclusiones</w:t>
      </w:r>
    </w:p>
    <w:p w14:paraId="00A0D3A3" w14:textId="77777777" w:rsidR="00EB7513" w:rsidRPr="00EB7513" w:rsidRDefault="00EB7513" w:rsidP="00EB7513">
      <w:pPr>
        <w:jc w:val="both"/>
      </w:pPr>
      <w:r w:rsidRPr="00EB7513">
        <w:t>La protección de datos en el entorno digital constituye una responsabilidad compartida por todo el personal sanitario y no sanitario. La aplicación de buenas prácticas en el uso de las tecnologías de la información permite proteger la privacidad de pacientes, usuarios y trabajadores, además de garantizar la continuidad de los servicios.</w:t>
      </w:r>
    </w:p>
    <w:p w14:paraId="34E3CFEF" w14:textId="77777777" w:rsidR="00EB7513" w:rsidRPr="00EB7513" w:rsidRDefault="00EB7513" w:rsidP="00EB7513">
      <w:pPr>
        <w:jc w:val="both"/>
      </w:pPr>
      <w:r w:rsidRPr="00EB7513">
        <w:t xml:space="preserve">La formación periódica, la sensibilización frente a los riesgos digitales y el cumplimiento de los protocolos de seguridad representan herramientas esenciales para prevenir </w:t>
      </w:r>
      <w:proofErr w:type="spellStart"/>
      <w:r w:rsidRPr="00EB7513">
        <w:t>ciberincidentes</w:t>
      </w:r>
      <w:proofErr w:type="spellEnd"/>
      <w:r w:rsidRPr="00EB7513">
        <w:t xml:space="preserve"> y fortalecer la confianza en los sistemas de información.</w:t>
      </w:r>
    </w:p>
    <w:p w14:paraId="22ACD4C0" w14:textId="77777777" w:rsidR="00EB7513" w:rsidRPr="00EB7513" w:rsidRDefault="00EB7513" w:rsidP="00EB7513">
      <w:pPr>
        <w:jc w:val="both"/>
      </w:pPr>
      <w:r w:rsidRPr="00EB7513">
        <w:t>Las organizaciones deben fomentar una cultura de ciberseguridad en la que todos los profesionales participen activamente en la protección de la información, contribuyendo a ofrecer servicios más seguros, eficientes y respetuosos con la confidencialidad.</w:t>
      </w:r>
    </w:p>
    <w:p w14:paraId="5B6A8F52" w14:textId="77777777" w:rsidR="00EB7513" w:rsidRPr="00EB7513" w:rsidRDefault="00EB7513" w:rsidP="00EB7513">
      <w:pPr>
        <w:jc w:val="both"/>
        <w:rPr>
          <w:b/>
        </w:rPr>
      </w:pPr>
      <w:r w:rsidRPr="00EB7513">
        <w:rPr>
          <w:b/>
        </w:rPr>
        <w:t>Bibliografía</w:t>
      </w:r>
    </w:p>
    <w:p w14:paraId="22091C83" w14:textId="77777777" w:rsidR="00EB7513" w:rsidRPr="00EB7513" w:rsidRDefault="00EB7513" w:rsidP="00EB7513">
      <w:pPr>
        <w:numPr>
          <w:ilvl w:val="0"/>
          <w:numId w:val="55"/>
        </w:numPr>
        <w:jc w:val="both"/>
      </w:pPr>
      <w:r w:rsidRPr="00EB7513">
        <w:lastRenderedPageBreak/>
        <w:t>Agencia Española de Protección de Datos. (2024). *Guía para profesionales sobre protección de datos*.</w:t>
      </w:r>
    </w:p>
    <w:p w14:paraId="529795F8" w14:textId="77777777" w:rsidR="00EB7513" w:rsidRPr="00EB7513" w:rsidRDefault="00EB7513" w:rsidP="00EB7513">
      <w:pPr>
        <w:numPr>
          <w:ilvl w:val="0"/>
          <w:numId w:val="55"/>
        </w:numPr>
        <w:jc w:val="both"/>
      </w:pPr>
      <w:r w:rsidRPr="00EB7513">
        <w:t>Instituto Nacional de Ciberseguridad. (2024). *Buenas prácticas de ciberseguridad para organizaciones*.</w:t>
      </w:r>
    </w:p>
    <w:p w14:paraId="1C6136C5" w14:textId="77777777" w:rsidR="00EB7513" w:rsidRPr="00EB7513" w:rsidRDefault="00EB7513" w:rsidP="00EB7513">
      <w:pPr>
        <w:numPr>
          <w:ilvl w:val="0"/>
          <w:numId w:val="55"/>
        </w:numPr>
        <w:jc w:val="both"/>
      </w:pPr>
      <w:r w:rsidRPr="00EB7513">
        <w:t>Centro Criptológico Nacional. (2023). *Guías CCN-STIC de seguridad de la información*.</w:t>
      </w:r>
    </w:p>
    <w:p w14:paraId="587ED7B7" w14:textId="77777777" w:rsidR="00EB7513" w:rsidRPr="00EB7513" w:rsidRDefault="00EB7513" w:rsidP="00EB7513">
      <w:pPr>
        <w:numPr>
          <w:ilvl w:val="0"/>
          <w:numId w:val="55"/>
        </w:numPr>
        <w:jc w:val="both"/>
      </w:pPr>
      <w:r w:rsidRPr="00EB7513">
        <w:t>Agencia de la Unión Europea para la Ciberseguridad. (2023). *</w:t>
      </w:r>
      <w:proofErr w:type="spellStart"/>
      <w:r w:rsidRPr="00EB7513">
        <w:t>Cybersecurity</w:t>
      </w:r>
      <w:proofErr w:type="spellEnd"/>
      <w:r w:rsidRPr="00EB7513">
        <w:t xml:space="preserve"> Culture Guidelines</w:t>
      </w:r>
      <w:proofErr w:type="gramStart"/>
      <w:r w:rsidRPr="00EB7513">
        <w:t>*.*</w:t>
      </w:r>
      <w:proofErr w:type="gramEnd"/>
      <w:r w:rsidRPr="00EB7513">
        <w:t xml:space="preserve"> Parlamento Europeo. (2016). *Reglamento (UE) 2016/679 (Reglamento General de Protección de </w:t>
      </w:r>
      <w:proofErr w:type="gramStart"/>
      <w:r w:rsidRPr="00EB7513">
        <w:t>Datos)*</w:t>
      </w:r>
      <w:proofErr w:type="gramEnd"/>
      <w:r w:rsidRPr="00EB7513">
        <w:t>.</w:t>
      </w:r>
    </w:p>
    <w:p w14:paraId="58DD1787" w14:textId="77777777" w:rsidR="00F25FB5" w:rsidRDefault="00F25FB5" w:rsidP="00043CFC">
      <w:pPr>
        <w:jc w:val="both"/>
      </w:pPr>
    </w:p>
    <w:p w14:paraId="686EDDF2" w14:textId="77777777" w:rsidR="00EB7513" w:rsidRDefault="00EB7513" w:rsidP="00043CFC">
      <w:pPr>
        <w:jc w:val="both"/>
      </w:pPr>
    </w:p>
    <w:p w14:paraId="02304408" w14:textId="77777777" w:rsidR="00EB7513" w:rsidRDefault="00EB7513" w:rsidP="00043CFC">
      <w:pPr>
        <w:jc w:val="both"/>
      </w:pPr>
    </w:p>
    <w:p w14:paraId="12C4DFEA" w14:textId="77777777" w:rsidR="00EB7513" w:rsidRDefault="00EB7513" w:rsidP="00043CFC">
      <w:pPr>
        <w:jc w:val="both"/>
      </w:pPr>
    </w:p>
    <w:p w14:paraId="08CC0187" w14:textId="77777777" w:rsidR="00EB7513" w:rsidRDefault="00EB7513" w:rsidP="00043CFC">
      <w:pPr>
        <w:jc w:val="both"/>
      </w:pPr>
    </w:p>
    <w:p w14:paraId="1F367954" w14:textId="77777777" w:rsidR="00EB7513" w:rsidRDefault="00EB7513" w:rsidP="00043CFC">
      <w:pPr>
        <w:jc w:val="both"/>
      </w:pPr>
    </w:p>
    <w:p w14:paraId="372B1729" w14:textId="77777777" w:rsidR="00EB7513" w:rsidRDefault="00EB7513" w:rsidP="00043CFC">
      <w:pPr>
        <w:jc w:val="both"/>
      </w:pPr>
    </w:p>
    <w:p w14:paraId="0E0D5201" w14:textId="77777777" w:rsidR="00EB7513" w:rsidRDefault="00EB7513" w:rsidP="00043CFC">
      <w:pPr>
        <w:jc w:val="both"/>
      </w:pPr>
    </w:p>
    <w:p w14:paraId="62C843E1" w14:textId="77777777" w:rsidR="00EB7513" w:rsidRDefault="00EB7513" w:rsidP="00043CFC">
      <w:pPr>
        <w:jc w:val="both"/>
      </w:pPr>
    </w:p>
    <w:p w14:paraId="4D88E1EF" w14:textId="77777777" w:rsidR="00EB7513" w:rsidRDefault="00EB7513" w:rsidP="00043CFC">
      <w:pPr>
        <w:jc w:val="both"/>
      </w:pPr>
    </w:p>
    <w:p w14:paraId="01B4414C" w14:textId="77777777" w:rsidR="00EB7513" w:rsidRDefault="00EB7513" w:rsidP="00043CFC">
      <w:pPr>
        <w:jc w:val="both"/>
      </w:pPr>
    </w:p>
    <w:p w14:paraId="6FCFC0E3" w14:textId="77777777" w:rsidR="00EB7513" w:rsidRDefault="00EB7513" w:rsidP="00043CFC">
      <w:pPr>
        <w:jc w:val="both"/>
      </w:pPr>
    </w:p>
    <w:p w14:paraId="6060297D" w14:textId="77777777" w:rsidR="00EB7513" w:rsidRDefault="00EB7513" w:rsidP="00043CFC">
      <w:pPr>
        <w:jc w:val="both"/>
      </w:pPr>
    </w:p>
    <w:p w14:paraId="67784F27" w14:textId="77777777" w:rsidR="00EB7513" w:rsidRDefault="00EB7513" w:rsidP="00043CFC">
      <w:pPr>
        <w:jc w:val="both"/>
      </w:pPr>
    </w:p>
    <w:p w14:paraId="3946214D" w14:textId="77777777" w:rsidR="00EB7513" w:rsidRDefault="00EB7513" w:rsidP="00043CFC">
      <w:pPr>
        <w:jc w:val="both"/>
      </w:pPr>
    </w:p>
    <w:p w14:paraId="70C1EABD" w14:textId="77777777" w:rsidR="00EB7513" w:rsidRDefault="00EB7513" w:rsidP="00043CFC">
      <w:pPr>
        <w:jc w:val="both"/>
      </w:pPr>
    </w:p>
    <w:p w14:paraId="613A6CA8" w14:textId="77777777" w:rsidR="00EB7513" w:rsidRDefault="00EB7513" w:rsidP="00043CFC">
      <w:pPr>
        <w:jc w:val="both"/>
      </w:pPr>
    </w:p>
    <w:p w14:paraId="2C65B531" w14:textId="77777777" w:rsidR="00EB7513" w:rsidRDefault="00EB7513" w:rsidP="00043CFC">
      <w:pPr>
        <w:jc w:val="both"/>
      </w:pPr>
    </w:p>
    <w:p w14:paraId="6971E678" w14:textId="77777777" w:rsidR="00EB7513" w:rsidRDefault="00EB7513" w:rsidP="00043CFC">
      <w:pPr>
        <w:jc w:val="both"/>
      </w:pPr>
    </w:p>
    <w:p w14:paraId="0918523A" w14:textId="77777777" w:rsidR="00EB7513" w:rsidRDefault="00EB7513" w:rsidP="00043CFC">
      <w:pPr>
        <w:jc w:val="both"/>
      </w:pPr>
    </w:p>
    <w:p w14:paraId="64676DC8" w14:textId="77777777" w:rsidR="00EB7513" w:rsidRDefault="00EB7513" w:rsidP="00043CFC">
      <w:pPr>
        <w:jc w:val="both"/>
      </w:pPr>
    </w:p>
    <w:p w14:paraId="2E898E88" w14:textId="77777777" w:rsidR="00A42758" w:rsidRPr="00A42758" w:rsidRDefault="00A42758" w:rsidP="00A42758">
      <w:pPr>
        <w:jc w:val="both"/>
      </w:pPr>
      <w:r w:rsidRPr="00A42758">
        <w:rPr>
          <w:b/>
        </w:rPr>
        <w:lastRenderedPageBreak/>
        <w:t>Prevención de riesgos laborales basada en la mejora continua: una estrategia para el personal sanitario y no sanitario</w:t>
      </w:r>
    </w:p>
    <w:p w14:paraId="6E2DC255" w14:textId="77777777" w:rsidR="00A42758" w:rsidRPr="00A42758" w:rsidRDefault="00A42758" w:rsidP="00A42758">
      <w:pPr>
        <w:jc w:val="both"/>
        <w:rPr>
          <w:b/>
        </w:rPr>
      </w:pPr>
      <w:r w:rsidRPr="00A42758">
        <w:rPr>
          <w:b/>
        </w:rPr>
        <w:t>Introducción</w:t>
      </w:r>
    </w:p>
    <w:p w14:paraId="6C85294B" w14:textId="77777777" w:rsidR="00A42758" w:rsidRPr="00A42758" w:rsidRDefault="00A42758" w:rsidP="00A42758">
      <w:pPr>
        <w:jc w:val="both"/>
      </w:pPr>
      <w:r w:rsidRPr="00A42758">
        <w:t>La prevención de riesgos laborales ha evolucionado desde un modelo basado en la corrección de accidentes hacia un enfoque preventivo que busca anticiparse a la aparición de los riesgos antes de que produzcan daños. Este modelo de prevención proactiva promueve la mejora continua de las condiciones de trabajo mediante la evaluación periódica de los riesgos, la implantación de medidas preventivas y la participación de todos los profesionales.</w:t>
      </w:r>
    </w:p>
    <w:p w14:paraId="4B8E0A2C" w14:textId="77777777" w:rsidR="00A42758" w:rsidRPr="00A42758" w:rsidRDefault="00A42758" w:rsidP="00A42758">
      <w:pPr>
        <w:jc w:val="both"/>
      </w:pPr>
      <w:r w:rsidRPr="00A42758">
        <w:t>En los centros sanitarios y sociosanitarios, así como en los servicios administrativos y de apoyo, los trabajadores están expuestos a riesgos de distinta naturaleza, entre ellos los biológicos, químicos, físicos, ergonómicos, mecánicos y psicosociales. La diversidad de tareas hace imprescindible desarrollar sistemas preventivos flexibles, adaptados a las características de cada puesto de trabajo.</w:t>
      </w:r>
    </w:p>
    <w:p w14:paraId="2329116E" w14:textId="77777777" w:rsidR="00A42758" w:rsidRPr="00A42758" w:rsidRDefault="00A42758" w:rsidP="00A42758">
      <w:pPr>
        <w:jc w:val="both"/>
      </w:pPr>
      <w:r w:rsidRPr="00A42758">
        <w:t>La mejora continua permite revisar de forma permanente los procedimientos, identificar oportunidades de optimización y fortalecer la cultura de seguridad dentro de las organizaciones.</w:t>
      </w:r>
    </w:p>
    <w:p w14:paraId="798E5B76" w14:textId="77777777" w:rsidR="00A42758" w:rsidRPr="00A42758" w:rsidRDefault="00A42758" w:rsidP="00A42758">
      <w:pPr>
        <w:jc w:val="both"/>
        <w:rPr>
          <w:b/>
        </w:rPr>
      </w:pPr>
      <w:r w:rsidRPr="00A42758">
        <w:rPr>
          <w:b/>
        </w:rPr>
        <w:t>Objetivo</w:t>
      </w:r>
    </w:p>
    <w:p w14:paraId="6557A80A" w14:textId="77777777" w:rsidR="00A42758" w:rsidRPr="00A42758" w:rsidRDefault="00A42758" w:rsidP="00A42758">
      <w:pPr>
        <w:jc w:val="both"/>
      </w:pPr>
      <w:r w:rsidRPr="00A42758">
        <w:t>Analizar la importancia de la mejora continua como herramienta para fortalecer la prevención de riesgos laborales en el personal sanitario y no sanitario, identificando las principales estrategias para favorecer entornos de trabajo seguros y saludables.</w:t>
      </w:r>
    </w:p>
    <w:p w14:paraId="6ED6704E" w14:textId="77777777" w:rsidR="00A42758" w:rsidRPr="00A42758" w:rsidRDefault="00A42758" w:rsidP="00A42758">
      <w:pPr>
        <w:jc w:val="both"/>
        <w:rPr>
          <w:b/>
        </w:rPr>
      </w:pPr>
      <w:r w:rsidRPr="00A42758">
        <w:rPr>
          <w:b/>
        </w:rPr>
        <w:t>Material y método</w:t>
      </w:r>
    </w:p>
    <w:p w14:paraId="339F5706" w14:textId="77777777" w:rsidR="00A42758" w:rsidRPr="00A42758" w:rsidRDefault="00A42758" w:rsidP="00A42758">
      <w:pPr>
        <w:jc w:val="both"/>
      </w:pPr>
      <w:r w:rsidRPr="00A42758">
        <w:t xml:space="preserve">Se realizó una revisión bibliográfica descriptiva mediante la consulta de artículos científicos, revisiones sistemáticas y documentos técnicos publicados entre 2016 y 2025. Se revisaron las bases de datos PubMed, </w:t>
      </w:r>
      <w:proofErr w:type="spellStart"/>
      <w:r w:rsidRPr="00A42758">
        <w:t>Scopus</w:t>
      </w:r>
      <w:proofErr w:type="spellEnd"/>
      <w:r w:rsidRPr="00A42758">
        <w:t xml:space="preserve"> y Google Scholar, además de documentos elaborados por el Instituto Nacional de Seguridad y Salud en el Trabajo, la Organización Internacional del Trabajo y la Agencia Europea para la Seguridad y la Salud en el Trabajo.</w:t>
      </w:r>
    </w:p>
    <w:p w14:paraId="02DA503C" w14:textId="77777777" w:rsidR="00A42758" w:rsidRPr="00A42758" w:rsidRDefault="00A42758" w:rsidP="00A42758">
      <w:pPr>
        <w:jc w:val="both"/>
      </w:pPr>
      <w:r w:rsidRPr="00A42758">
        <w:t>Se seleccionaron publicaciones relacionadas con sistemas de gestión preventiva, mejora continua, cultura de seguridad y participación de los trabajadores.</w:t>
      </w:r>
    </w:p>
    <w:p w14:paraId="0C44B31D" w14:textId="77777777" w:rsidR="00A42758" w:rsidRPr="00A42758" w:rsidRDefault="00A42758" w:rsidP="00A42758">
      <w:pPr>
        <w:jc w:val="both"/>
        <w:rPr>
          <w:b/>
        </w:rPr>
      </w:pPr>
      <w:r w:rsidRPr="00A42758">
        <w:rPr>
          <w:b/>
        </w:rPr>
        <w:t>Resultados</w:t>
      </w:r>
    </w:p>
    <w:p w14:paraId="4298248C" w14:textId="77777777" w:rsidR="00A42758" w:rsidRPr="00A42758" w:rsidRDefault="00A42758" w:rsidP="00A42758">
      <w:pPr>
        <w:jc w:val="both"/>
      </w:pPr>
      <w:r w:rsidRPr="00A42758">
        <w:t>La evidencia científica demuestra que las organizaciones que aplican modelos de mejora continua presentan menores índices de accidentes laborales y una mayor capacidad para adaptarse a los cambios organizativos y tecnológicos.</w:t>
      </w:r>
    </w:p>
    <w:p w14:paraId="61BEE47E" w14:textId="77777777" w:rsidR="00A42758" w:rsidRPr="00A42758" w:rsidRDefault="00A42758" w:rsidP="00A42758">
      <w:pPr>
        <w:jc w:val="both"/>
      </w:pPr>
      <w:r w:rsidRPr="00A42758">
        <w:lastRenderedPageBreak/>
        <w:t>Los estudios destacan que la revisión periódica de las evaluaciones de riesgos permite identificar nuevas situaciones de peligro derivadas de modificaciones en los procesos de trabajo, incorporación de equipos, cambios normativos o aparición de nuevos riesgos emergentes.</w:t>
      </w:r>
    </w:p>
    <w:p w14:paraId="735097ED" w14:textId="77777777" w:rsidR="00A42758" w:rsidRPr="00A42758" w:rsidRDefault="00A42758" w:rsidP="00A42758">
      <w:pPr>
        <w:jc w:val="both"/>
      </w:pPr>
      <w:r w:rsidRPr="00A42758">
        <w:t>En el ámbito sanitario, la mejora continua facilita la actualización de los protocolos relacionados con la bioseguridad, la manipulación de productos sanitarios, la movilización de pacientes y la prevención de riesgos psicosociales. En el personal no sanitario, favorece la optimización de procedimientos relacionados con la manipulación de cargas, el uso de maquinaria, la atención al público y el trabajo con equipos informáticos.</w:t>
      </w:r>
    </w:p>
    <w:p w14:paraId="75E15D59" w14:textId="77777777" w:rsidR="00A42758" w:rsidRPr="00A42758" w:rsidRDefault="00A42758" w:rsidP="00A42758">
      <w:pPr>
        <w:jc w:val="both"/>
      </w:pPr>
      <w:r w:rsidRPr="00A42758">
        <w:t>La literatura científica resalta la importancia de analizar los incidentes y los accidentes sin daños como oportunidades de aprendizaje. La investigación de estos sucesos permite implantar medidas correctoras antes de que se produzcan consecuencias de mayor gravedad.</w:t>
      </w:r>
    </w:p>
    <w:p w14:paraId="61C72215" w14:textId="77777777" w:rsidR="00A42758" w:rsidRPr="00A42758" w:rsidRDefault="00A42758" w:rsidP="00A42758">
      <w:pPr>
        <w:jc w:val="both"/>
      </w:pPr>
      <w:r w:rsidRPr="00A42758">
        <w:t xml:space="preserve">Asimismo, la formación continuada, la comunicación eficaz entre los diferentes niveles de la organización y la </w:t>
      </w:r>
      <w:proofErr w:type="gramStart"/>
      <w:r w:rsidRPr="00A42758">
        <w:t>participación activa</w:t>
      </w:r>
      <w:proofErr w:type="gramEnd"/>
      <w:r w:rsidRPr="00A42758">
        <w:t xml:space="preserve"> de los trabajadores en la propuesta de mejoras fortalecen la cultura preventiva y aumentan el cumplimiento de las normas de seguridad.</w:t>
      </w:r>
    </w:p>
    <w:p w14:paraId="2F73581F" w14:textId="77777777" w:rsidR="00A42758" w:rsidRPr="00A42758" w:rsidRDefault="00A42758" w:rsidP="00A42758">
      <w:pPr>
        <w:jc w:val="both"/>
        <w:rPr>
          <w:b/>
        </w:rPr>
      </w:pPr>
      <w:r w:rsidRPr="00A42758">
        <w:rPr>
          <w:b/>
        </w:rPr>
        <w:t>Conclusiones</w:t>
      </w:r>
    </w:p>
    <w:p w14:paraId="77086497" w14:textId="77777777" w:rsidR="00A42758" w:rsidRPr="00A42758" w:rsidRDefault="00A42758" w:rsidP="00A42758">
      <w:pPr>
        <w:jc w:val="both"/>
      </w:pPr>
      <w:r w:rsidRPr="00A42758">
        <w:t>La prevención de riesgos laborales basada en la mejora continua constituye una estrategia eficaz para proteger la salud del personal sanitario y no sanitario y mejorar la calidad de los entornos laborales.</w:t>
      </w:r>
    </w:p>
    <w:p w14:paraId="1807F210" w14:textId="77777777" w:rsidR="00A42758" w:rsidRPr="00A42758" w:rsidRDefault="00A42758" w:rsidP="00A42758">
      <w:pPr>
        <w:jc w:val="both"/>
      </w:pPr>
      <w:r w:rsidRPr="00A42758">
        <w:t>La evaluación permanente de los riesgos, la actualización de los procedimientos, la formación de los profesionales y la participación de los trabajadores permiten anticiparse a los problemas y reducir la incidencia de accidentes y enfermedades profesionales.</w:t>
      </w:r>
    </w:p>
    <w:p w14:paraId="03DE175F" w14:textId="77777777" w:rsidR="00A42758" w:rsidRPr="00A42758" w:rsidRDefault="00A42758" w:rsidP="00A42758">
      <w:pPr>
        <w:jc w:val="both"/>
      </w:pPr>
      <w:r w:rsidRPr="00A42758">
        <w:t>Las organizaciones que integran la mejora continua en su sistema de prevención desarrollan entornos más seguros, favorecen el bienestar de los trabajadores y contribuyen a ofrecer servicios de mayor calidad, eficiencia y sostenibilidad.</w:t>
      </w:r>
    </w:p>
    <w:p w14:paraId="7A335CE4" w14:textId="77777777" w:rsidR="00A42758" w:rsidRPr="00A42758" w:rsidRDefault="00A42758" w:rsidP="00A42758">
      <w:pPr>
        <w:jc w:val="both"/>
        <w:rPr>
          <w:b/>
        </w:rPr>
      </w:pPr>
      <w:r w:rsidRPr="00A42758">
        <w:rPr>
          <w:b/>
        </w:rPr>
        <w:t>Bibliografía</w:t>
      </w:r>
    </w:p>
    <w:p w14:paraId="1F7F9EAD" w14:textId="77777777" w:rsidR="00A42758" w:rsidRPr="00A42758" w:rsidRDefault="00A42758" w:rsidP="00A42758">
      <w:pPr>
        <w:numPr>
          <w:ilvl w:val="0"/>
          <w:numId w:val="56"/>
        </w:numPr>
        <w:jc w:val="both"/>
      </w:pPr>
      <w:r w:rsidRPr="00A42758">
        <w:t>Instituto Nacional de Seguridad y Salud en el Trabajo. (2024). *Gestión preventiva y mejora continua en seguridad y salud laboral*.</w:t>
      </w:r>
    </w:p>
    <w:p w14:paraId="7DF71275" w14:textId="77777777" w:rsidR="00A42758" w:rsidRPr="00A42758" w:rsidRDefault="00A42758" w:rsidP="00A42758">
      <w:pPr>
        <w:numPr>
          <w:ilvl w:val="0"/>
          <w:numId w:val="56"/>
        </w:numPr>
        <w:jc w:val="both"/>
        <w:rPr>
          <w:lang w:val="en-GB"/>
        </w:rPr>
      </w:pPr>
      <w:r w:rsidRPr="00A42758">
        <w:rPr>
          <w:lang w:val="en-GB"/>
        </w:rPr>
        <w:t xml:space="preserve">Organización Internacional del </w:t>
      </w:r>
      <w:proofErr w:type="spellStart"/>
      <w:r w:rsidRPr="00A42758">
        <w:rPr>
          <w:lang w:val="en-GB"/>
        </w:rPr>
        <w:t>Trabajo</w:t>
      </w:r>
      <w:proofErr w:type="spellEnd"/>
      <w:r w:rsidRPr="00A42758">
        <w:rPr>
          <w:lang w:val="en-GB"/>
        </w:rPr>
        <w:t>. (2023). *Occupational Safety and Health Management Systems: A Tool for Continual Improvement*.</w:t>
      </w:r>
    </w:p>
    <w:p w14:paraId="0A8C1AE1" w14:textId="77777777" w:rsidR="00A42758" w:rsidRPr="00A42758" w:rsidRDefault="00A42758" w:rsidP="00A42758">
      <w:pPr>
        <w:numPr>
          <w:ilvl w:val="0"/>
          <w:numId w:val="56"/>
        </w:numPr>
        <w:jc w:val="both"/>
        <w:rPr>
          <w:lang w:val="en-GB"/>
        </w:rPr>
      </w:pPr>
      <w:r w:rsidRPr="00A42758">
        <w:t xml:space="preserve">Agencia Europea para la Seguridad y la Salud en el Trabajo. </w:t>
      </w:r>
      <w:r w:rsidRPr="00A42758">
        <w:rPr>
          <w:lang w:val="en-GB"/>
        </w:rPr>
        <w:t>(2024). *Improving Occupational Safety and Health Management*.</w:t>
      </w:r>
    </w:p>
    <w:p w14:paraId="3BEFCD54" w14:textId="77777777" w:rsidR="00A42758" w:rsidRPr="00A42758" w:rsidRDefault="00A42758" w:rsidP="00A42758">
      <w:pPr>
        <w:numPr>
          <w:ilvl w:val="0"/>
          <w:numId w:val="56"/>
        </w:numPr>
        <w:jc w:val="both"/>
        <w:rPr>
          <w:lang w:val="en-GB"/>
        </w:rPr>
      </w:pPr>
      <w:r w:rsidRPr="00A42758">
        <w:rPr>
          <w:lang w:val="en-GB"/>
        </w:rPr>
        <w:lastRenderedPageBreak/>
        <w:t>International Organization for Standardization. (2018). *ISO 45001: Occupational Health and Safety Management Systems – Requirements with Guidance for Use*.</w:t>
      </w:r>
    </w:p>
    <w:p w14:paraId="79A4F411" w14:textId="77777777" w:rsidR="00A42758" w:rsidRPr="00A42758" w:rsidRDefault="00A42758" w:rsidP="00A42758">
      <w:pPr>
        <w:numPr>
          <w:ilvl w:val="0"/>
          <w:numId w:val="56"/>
        </w:numPr>
        <w:jc w:val="both"/>
      </w:pPr>
      <w:r w:rsidRPr="00A42758">
        <w:t>Ministerio de Trabajo y Economía Social. *Ley 31/1995, de 8 de noviembre, de Prevención de Riesgos Laborales*.</w:t>
      </w:r>
    </w:p>
    <w:p w14:paraId="5A7342B1" w14:textId="77777777" w:rsidR="00EB7513" w:rsidRDefault="00EB7513" w:rsidP="00043CFC">
      <w:pPr>
        <w:jc w:val="both"/>
      </w:pPr>
    </w:p>
    <w:p w14:paraId="6A0BB5B4" w14:textId="77777777" w:rsidR="00A42758" w:rsidRDefault="00A42758" w:rsidP="00043CFC">
      <w:pPr>
        <w:jc w:val="both"/>
      </w:pPr>
    </w:p>
    <w:p w14:paraId="590708D2" w14:textId="77777777" w:rsidR="00A42758" w:rsidRDefault="00A42758" w:rsidP="00043CFC">
      <w:pPr>
        <w:jc w:val="both"/>
      </w:pPr>
    </w:p>
    <w:p w14:paraId="211D6F20" w14:textId="77777777" w:rsidR="00A42758" w:rsidRDefault="00A42758" w:rsidP="00043CFC">
      <w:pPr>
        <w:jc w:val="both"/>
      </w:pPr>
    </w:p>
    <w:p w14:paraId="153282AC" w14:textId="77777777" w:rsidR="00A42758" w:rsidRDefault="00A42758" w:rsidP="00043CFC">
      <w:pPr>
        <w:jc w:val="both"/>
      </w:pPr>
    </w:p>
    <w:p w14:paraId="1C5BEF2E" w14:textId="77777777" w:rsidR="00A42758" w:rsidRDefault="00A42758" w:rsidP="00043CFC">
      <w:pPr>
        <w:jc w:val="both"/>
      </w:pPr>
    </w:p>
    <w:p w14:paraId="4F0D7A7B" w14:textId="77777777" w:rsidR="00A42758" w:rsidRDefault="00A42758" w:rsidP="00043CFC">
      <w:pPr>
        <w:jc w:val="both"/>
      </w:pPr>
    </w:p>
    <w:p w14:paraId="22D24F81" w14:textId="77777777" w:rsidR="00A42758" w:rsidRDefault="00A42758" w:rsidP="00043CFC">
      <w:pPr>
        <w:jc w:val="both"/>
      </w:pPr>
    </w:p>
    <w:p w14:paraId="449EDBEC" w14:textId="77777777" w:rsidR="00A42758" w:rsidRDefault="00A42758" w:rsidP="00043CFC">
      <w:pPr>
        <w:jc w:val="both"/>
      </w:pPr>
    </w:p>
    <w:p w14:paraId="319B82AE" w14:textId="77777777" w:rsidR="00A42758" w:rsidRDefault="00A42758" w:rsidP="00043CFC">
      <w:pPr>
        <w:jc w:val="both"/>
      </w:pPr>
    </w:p>
    <w:p w14:paraId="7BA29B5D" w14:textId="77777777" w:rsidR="00A42758" w:rsidRDefault="00A42758" w:rsidP="00043CFC">
      <w:pPr>
        <w:jc w:val="both"/>
      </w:pPr>
    </w:p>
    <w:p w14:paraId="34C1A1FD" w14:textId="77777777" w:rsidR="00A42758" w:rsidRDefault="00A42758" w:rsidP="00043CFC">
      <w:pPr>
        <w:jc w:val="both"/>
      </w:pPr>
    </w:p>
    <w:p w14:paraId="049635BF" w14:textId="77777777" w:rsidR="00A42758" w:rsidRDefault="00A42758" w:rsidP="00043CFC">
      <w:pPr>
        <w:jc w:val="both"/>
      </w:pPr>
    </w:p>
    <w:p w14:paraId="231491FD" w14:textId="77777777" w:rsidR="00A42758" w:rsidRDefault="00A42758" w:rsidP="00043CFC">
      <w:pPr>
        <w:jc w:val="both"/>
      </w:pPr>
    </w:p>
    <w:p w14:paraId="6B864C89" w14:textId="77777777" w:rsidR="00A42758" w:rsidRDefault="00A42758" w:rsidP="00043CFC">
      <w:pPr>
        <w:jc w:val="both"/>
      </w:pPr>
    </w:p>
    <w:p w14:paraId="35EC854F" w14:textId="77777777" w:rsidR="00A42758" w:rsidRDefault="00A42758" w:rsidP="00043CFC">
      <w:pPr>
        <w:jc w:val="both"/>
      </w:pPr>
    </w:p>
    <w:p w14:paraId="49562863" w14:textId="77777777" w:rsidR="00A42758" w:rsidRDefault="00A42758" w:rsidP="00043CFC">
      <w:pPr>
        <w:jc w:val="both"/>
      </w:pPr>
    </w:p>
    <w:p w14:paraId="19787EF7" w14:textId="77777777" w:rsidR="00A42758" w:rsidRDefault="00A42758" w:rsidP="00043CFC">
      <w:pPr>
        <w:jc w:val="both"/>
      </w:pPr>
    </w:p>
    <w:p w14:paraId="5733A64A" w14:textId="77777777" w:rsidR="00A42758" w:rsidRDefault="00A42758" w:rsidP="00043CFC">
      <w:pPr>
        <w:jc w:val="both"/>
      </w:pPr>
    </w:p>
    <w:p w14:paraId="77C640A3" w14:textId="77777777" w:rsidR="00A42758" w:rsidRDefault="00A42758" w:rsidP="00043CFC">
      <w:pPr>
        <w:jc w:val="both"/>
      </w:pPr>
    </w:p>
    <w:p w14:paraId="2D58B8CB" w14:textId="77777777" w:rsidR="00A42758" w:rsidRDefault="00A42758" w:rsidP="00043CFC">
      <w:pPr>
        <w:jc w:val="both"/>
      </w:pPr>
    </w:p>
    <w:p w14:paraId="45891878" w14:textId="77777777" w:rsidR="00A42758" w:rsidRDefault="00A42758" w:rsidP="00043CFC">
      <w:pPr>
        <w:jc w:val="both"/>
      </w:pPr>
    </w:p>
    <w:p w14:paraId="4219782D" w14:textId="77777777" w:rsidR="00A42758" w:rsidRDefault="00A42758" w:rsidP="00043CFC">
      <w:pPr>
        <w:jc w:val="both"/>
      </w:pPr>
    </w:p>
    <w:p w14:paraId="1396276B" w14:textId="77777777" w:rsidR="00A42758" w:rsidRDefault="00A42758" w:rsidP="00043CFC">
      <w:pPr>
        <w:jc w:val="both"/>
      </w:pPr>
    </w:p>
    <w:p w14:paraId="4D769929" w14:textId="77777777" w:rsidR="006C419D" w:rsidRPr="006C419D" w:rsidRDefault="006C419D" w:rsidP="006C419D">
      <w:pPr>
        <w:jc w:val="both"/>
      </w:pPr>
      <w:r w:rsidRPr="006C419D">
        <w:rPr>
          <w:b/>
        </w:rPr>
        <w:lastRenderedPageBreak/>
        <w:t>Ergonomía participativa: una estrategia para mejorar la salud laboral del personal sanitario y no sanitario</w:t>
      </w:r>
    </w:p>
    <w:p w14:paraId="59DE9634" w14:textId="77777777" w:rsidR="006C419D" w:rsidRPr="006C419D" w:rsidRDefault="006C419D" w:rsidP="006C419D">
      <w:pPr>
        <w:jc w:val="both"/>
        <w:rPr>
          <w:b/>
        </w:rPr>
      </w:pPr>
      <w:r w:rsidRPr="006C419D">
        <w:rPr>
          <w:b/>
        </w:rPr>
        <w:t>Introducción</w:t>
      </w:r>
    </w:p>
    <w:p w14:paraId="4B3540B3" w14:textId="77777777" w:rsidR="006C419D" w:rsidRPr="006C419D" w:rsidRDefault="006C419D" w:rsidP="006C419D">
      <w:pPr>
        <w:jc w:val="both"/>
      </w:pPr>
      <w:r w:rsidRPr="006C419D">
        <w:t>La ergonomía es una disciplina orientada a adaptar las condiciones de trabajo a las capacidades y necesidades de las personas, favoreciendo la seguridad, el bienestar y la eficiencia laboral. Tradicionalmente, las intervenciones ergonómicas se han centrado en la evaluación técnica de los puestos de trabajo; sin embargo, en los últimos años ha cobrado especial importancia el concepto de ergonomía participativa, que promueve la implicación activa de los trabajadores en la identificación de riesgos y en la búsqueda de soluciones.</w:t>
      </w:r>
    </w:p>
    <w:p w14:paraId="54FFFDE0" w14:textId="77777777" w:rsidR="006C419D" w:rsidRPr="006C419D" w:rsidRDefault="006C419D" w:rsidP="006C419D">
      <w:pPr>
        <w:jc w:val="both"/>
      </w:pPr>
      <w:r w:rsidRPr="006C419D">
        <w:t>En los centros sanitarios y sociosanitarios, así como en los servicios administrativos, logísticos y de apoyo, las actividades laborales presentan características muy diversas. El personal sanitario realiza movilización de pacientes, procedimientos clínicos y tareas que exigen precisión y permanencia prolongada en determinadas posturas. Por su parte, el personal no sanitario desarrolla funciones relacionadas con la administración, limpieza, cocina, lavandería, mantenimiento, almacén o atención al público, todas ellas con riesgos ergonómicos específicos.</w:t>
      </w:r>
    </w:p>
    <w:p w14:paraId="7BBB54F6" w14:textId="77777777" w:rsidR="006C419D" w:rsidRPr="006C419D" w:rsidRDefault="006C419D" w:rsidP="006C419D">
      <w:pPr>
        <w:jc w:val="both"/>
      </w:pPr>
      <w:r w:rsidRPr="006C419D">
        <w:t>La participación de los trabajadores en el diseño de mejoras ergonómicas permite adaptar las medidas preventivas a la realidad de cada puesto, incrementando su eficacia y favoreciendo el compromiso con la prevención.</w:t>
      </w:r>
    </w:p>
    <w:p w14:paraId="5CB7525C" w14:textId="77777777" w:rsidR="006C419D" w:rsidRPr="006C419D" w:rsidRDefault="006C419D" w:rsidP="006C419D">
      <w:pPr>
        <w:jc w:val="both"/>
        <w:rPr>
          <w:b/>
        </w:rPr>
      </w:pPr>
      <w:r w:rsidRPr="006C419D">
        <w:rPr>
          <w:b/>
        </w:rPr>
        <w:t>Objetivo</w:t>
      </w:r>
    </w:p>
    <w:p w14:paraId="7FDF69F6" w14:textId="77777777" w:rsidR="006C419D" w:rsidRPr="006C419D" w:rsidRDefault="006C419D" w:rsidP="006C419D">
      <w:pPr>
        <w:jc w:val="both"/>
      </w:pPr>
      <w:r w:rsidRPr="006C419D">
        <w:t>Analizar la utilidad de la ergonomía participativa como herramienta para prevenir trastornos musculoesqueléticos y mejorar las condiciones de trabajo del personal sanitario y no sanitario.</w:t>
      </w:r>
    </w:p>
    <w:p w14:paraId="38F0FAB4" w14:textId="77777777" w:rsidR="006C419D" w:rsidRPr="006C419D" w:rsidRDefault="006C419D" w:rsidP="006C419D">
      <w:pPr>
        <w:jc w:val="both"/>
        <w:rPr>
          <w:b/>
        </w:rPr>
      </w:pPr>
      <w:r w:rsidRPr="006C419D">
        <w:rPr>
          <w:b/>
        </w:rPr>
        <w:t>Material y método</w:t>
      </w:r>
    </w:p>
    <w:p w14:paraId="0FCE9A71" w14:textId="77777777" w:rsidR="006C419D" w:rsidRPr="006C419D" w:rsidRDefault="006C419D" w:rsidP="006C419D">
      <w:pPr>
        <w:jc w:val="both"/>
      </w:pPr>
      <w:r w:rsidRPr="006C419D">
        <w:t xml:space="preserve">Se realizó una revisión bibliográfica descriptiva mediante la consulta de artículos científicos, revisiones sistemáticas y documentos técnicos publicados entre 2015 y 2025. Se consultaron las bases de datos PubMed, </w:t>
      </w:r>
      <w:proofErr w:type="spellStart"/>
      <w:r w:rsidRPr="006C419D">
        <w:t>Scopus</w:t>
      </w:r>
      <w:proofErr w:type="spellEnd"/>
      <w:r w:rsidRPr="006C419D">
        <w:t xml:space="preserve"> y Google Scholar, así como publicaciones del Instituto Nacional de Seguridad y Salud en el Trabajo, la Organización Internacional del Trabajo y la Agencia Europea para la Seguridad y la Salud en el Trabajo.</w:t>
      </w:r>
    </w:p>
    <w:p w14:paraId="0407ACBB" w14:textId="77777777" w:rsidR="006C419D" w:rsidRPr="006C419D" w:rsidRDefault="006C419D" w:rsidP="006C419D">
      <w:pPr>
        <w:jc w:val="both"/>
      </w:pPr>
      <w:r w:rsidRPr="006C419D">
        <w:t>Se seleccionaron estudios relacionados con ergonomía participativa, diseño de puestos de trabajo, prevención de lesiones musculoesqueléticas y programas de mejora continua.</w:t>
      </w:r>
    </w:p>
    <w:p w14:paraId="357A46F2" w14:textId="77777777" w:rsidR="006C419D" w:rsidRPr="006C419D" w:rsidRDefault="006C419D" w:rsidP="006C419D">
      <w:pPr>
        <w:jc w:val="both"/>
        <w:rPr>
          <w:b/>
        </w:rPr>
      </w:pPr>
      <w:r w:rsidRPr="006C419D">
        <w:rPr>
          <w:b/>
        </w:rPr>
        <w:t>Resultados</w:t>
      </w:r>
    </w:p>
    <w:p w14:paraId="2F00708E" w14:textId="77777777" w:rsidR="006C419D" w:rsidRPr="006C419D" w:rsidRDefault="006C419D" w:rsidP="006C419D">
      <w:pPr>
        <w:jc w:val="both"/>
      </w:pPr>
      <w:r w:rsidRPr="006C419D">
        <w:lastRenderedPageBreak/>
        <w:t>La evidencia científica demuestra que la participación de los trabajadores en la identificación de problemas ergonómicos favorece la implantación de medidas preventivas más eficaces y adaptadas a las necesidades reales del entorno laboral.</w:t>
      </w:r>
    </w:p>
    <w:p w14:paraId="3EEACBBB" w14:textId="77777777" w:rsidR="006C419D" w:rsidRPr="006C419D" w:rsidRDefault="006C419D" w:rsidP="006C419D">
      <w:pPr>
        <w:jc w:val="both"/>
      </w:pPr>
      <w:r w:rsidRPr="006C419D">
        <w:t>Los estudios muestran que la creación de grupos de trabajo multidisciplinares permite detectar situaciones de riesgo que no siempre son evidentes durante las evaluaciones técnicas convencionales. Entre las mejoras más frecuentes destacan la reorganización del espacio de trabajo, la modificación de procedimientos, la incorporación de ayudas mecánicas y la adaptación del mobiliario y los equipos.</w:t>
      </w:r>
    </w:p>
    <w:p w14:paraId="50969E19" w14:textId="77777777" w:rsidR="006C419D" w:rsidRPr="006C419D" w:rsidRDefault="006C419D" w:rsidP="006C419D">
      <w:pPr>
        <w:jc w:val="both"/>
      </w:pPr>
      <w:r w:rsidRPr="006C419D">
        <w:t>En el personal sanitario, la ergonomía participativa ha demostrado reducir la sobrecarga física asociada a la movilización de pacientes, al transporte de material y a la realización de procedimientos prolongados. En el personal no sanitario, ha contribuido a mejorar la organización de tareas relacionadas con la manipulación de cargas, el trabajo con pantallas de visualización, la limpieza de instalaciones y la utilización de herramientas manuales.</w:t>
      </w:r>
    </w:p>
    <w:p w14:paraId="3D3C04C4" w14:textId="77777777" w:rsidR="006C419D" w:rsidRPr="006C419D" w:rsidRDefault="006C419D" w:rsidP="006C419D">
      <w:pPr>
        <w:jc w:val="both"/>
      </w:pPr>
      <w:r w:rsidRPr="006C419D">
        <w:t>Asimismo, la literatura científica destaca que la formación continuada en ergonomía, junto con la implicación de los mandos intermedios y de los servicios de prevención, incrementa el cumplimiento de las medidas preventivas y favorece una cultura organizativa orientada a la mejora continua.</w:t>
      </w:r>
    </w:p>
    <w:p w14:paraId="428FAB52" w14:textId="77777777" w:rsidR="006C419D" w:rsidRPr="006C419D" w:rsidRDefault="006C419D" w:rsidP="006C419D">
      <w:pPr>
        <w:jc w:val="both"/>
      </w:pPr>
      <w:r w:rsidRPr="006C419D">
        <w:t>Además de disminuir la incidencia de trastornos musculoesqueléticos, la ergonomía participativa mejora la satisfacción laboral, fortalece la comunicación entre profesionales y aumenta la percepción de apoyo por parte de la organización.</w:t>
      </w:r>
    </w:p>
    <w:p w14:paraId="1CAC33A5" w14:textId="77777777" w:rsidR="006C419D" w:rsidRPr="006C419D" w:rsidRDefault="006C419D" w:rsidP="006C419D">
      <w:pPr>
        <w:jc w:val="both"/>
        <w:rPr>
          <w:b/>
        </w:rPr>
      </w:pPr>
      <w:r w:rsidRPr="006C419D">
        <w:rPr>
          <w:b/>
        </w:rPr>
        <w:t>Conclusiones</w:t>
      </w:r>
    </w:p>
    <w:p w14:paraId="15460607" w14:textId="77777777" w:rsidR="006C419D" w:rsidRPr="006C419D" w:rsidRDefault="006C419D" w:rsidP="006C419D">
      <w:pPr>
        <w:jc w:val="both"/>
      </w:pPr>
      <w:r w:rsidRPr="006C419D">
        <w:t>La ergonomía participativa representa una estrategia eficaz para mejorar la salud laboral del personal sanitario y no sanitario, al integrar la experiencia de los trabajadores en el diseño de soluciones preventivas.</w:t>
      </w:r>
    </w:p>
    <w:p w14:paraId="3A620027" w14:textId="77777777" w:rsidR="006C419D" w:rsidRPr="006C419D" w:rsidRDefault="006C419D" w:rsidP="006C419D">
      <w:pPr>
        <w:jc w:val="both"/>
      </w:pPr>
      <w:r w:rsidRPr="006C419D">
        <w:t>La colaboración entre profesionales, responsables de las organizaciones y servicios de prevención facilita la identificación de riesgos, optimiza los recursos disponibles y favorece la implantación de medidas adaptadas a cada puesto de trabajo.</w:t>
      </w:r>
    </w:p>
    <w:p w14:paraId="5CACA831" w14:textId="77777777" w:rsidR="006C419D" w:rsidRPr="006C419D" w:rsidRDefault="006C419D" w:rsidP="006C419D">
      <w:pPr>
        <w:jc w:val="both"/>
      </w:pPr>
      <w:r w:rsidRPr="006C419D">
        <w:t xml:space="preserve">Promover la </w:t>
      </w:r>
      <w:proofErr w:type="gramStart"/>
      <w:r w:rsidRPr="006C419D">
        <w:t>participación activa</w:t>
      </w:r>
      <w:proofErr w:type="gramEnd"/>
      <w:r w:rsidRPr="006C419D">
        <w:t xml:space="preserve"> de los trabajadores en las actuaciones ergonómicas contribuye a reducir las lesiones musculoesqueléticas, mejorar el bienestar laboral y consolidar una cultura preventiva basada en la cooperación y la mejora continua.</w:t>
      </w:r>
    </w:p>
    <w:p w14:paraId="66BD3957" w14:textId="77777777" w:rsidR="006C419D" w:rsidRPr="006C419D" w:rsidRDefault="006C419D" w:rsidP="006C419D">
      <w:pPr>
        <w:jc w:val="both"/>
        <w:rPr>
          <w:b/>
        </w:rPr>
      </w:pPr>
      <w:r w:rsidRPr="006C419D">
        <w:rPr>
          <w:b/>
        </w:rPr>
        <w:t>Bibliografía</w:t>
      </w:r>
    </w:p>
    <w:p w14:paraId="044D9AC5" w14:textId="77777777" w:rsidR="006C419D" w:rsidRPr="006C419D" w:rsidRDefault="006C419D" w:rsidP="006C419D">
      <w:pPr>
        <w:numPr>
          <w:ilvl w:val="0"/>
          <w:numId w:val="57"/>
        </w:numPr>
        <w:jc w:val="both"/>
      </w:pPr>
      <w:r w:rsidRPr="006C419D">
        <w:t>Instituto Nacional de Seguridad y Salud en el Trabajo. (2024). *Ergonomía y prevención de trastornos musculoesqueléticos*.</w:t>
      </w:r>
    </w:p>
    <w:p w14:paraId="30373B14" w14:textId="77777777" w:rsidR="006C419D" w:rsidRPr="006C419D" w:rsidRDefault="006C419D" w:rsidP="006C419D">
      <w:pPr>
        <w:numPr>
          <w:ilvl w:val="0"/>
          <w:numId w:val="57"/>
        </w:numPr>
        <w:jc w:val="both"/>
      </w:pPr>
      <w:r w:rsidRPr="006C419D">
        <w:lastRenderedPageBreak/>
        <w:t>Agencia Europea para la Seguridad y la Salud en el Trabajo. (2023). *Work-</w:t>
      </w:r>
      <w:proofErr w:type="spellStart"/>
      <w:r w:rsidRPr="006C419D">
        <w:t>related</w:t>
      </w:r>
      <w:proofErr w:type="spellEnd"/>
      <w:r w:rsidRPr="006C419D">
        <w:t xml:space="preserve"> </w:t>
      </w:r>
      <w:proofErr w:type="spellStart"/>
      <w:r w:rsidRPr="006C419D">
        <w:t>Musculoskeletal</w:t>
      </w:r>
      <w:proofErr w:type="spellEnd"/>
      <w:r w:rsidRPr="006C419D">
        <w:t xml:space="preserve"> </w:t>
      </w:r>
      <w:proofErr w:type="spellStart"/>
      <w:r w:rsidRPr="006C419D">
        <w:t>Disorders</w:t>
      </w:r>
      <w:proofErr w:type="spellEnd"/>
      <w:r w:rsidRPr="006C419D">
        <w:t>*.</w:t>
      </w:r>
    </w:p>
    <w:p w14:paraId="51E23AFE" w14:textId="77777777" w:rsidR="006C419D" w:rsidRPr="006C419D" w:rsidRDefault="006C419D" w:rsidP="006C419D">
      <w:pPr>
        <w:numPr>
          <w:ilvl w:val="0"/>
          <w:numId w:val="57"/>
        </w:numPr>
        <w:jc w:val="both"/>
        <w:rPr>
          <w:lang w:val="en-GB"/>
        </w:rPr>
      </w:pPr>
      <w:r w:rsidRPr="006C419D">
        <w:rPr>
          <w:lang w:val="en-GB"/>
        </w:rPr>
        <w:t xml:space="preserve">Organización Internacional del </w:t>
      </w:r>
      <w:proofErr w:type="spellStart"/>
      <w:r w:rsidRPr="006C419D">
        <w:rPr>
          <w:lang w:val="en-GB"/>
        </w:rPr>
        <w:t>Trabajo</w:t>
      </w:r>
      <w:proofErr w:type="spellEnd"/>
      <w:r w:rsidRPr="006C419D">
        <w:rPr>
          <w:lang w:val="en-GB"/>
        </w:rPr>
        <w:t>. (2022). *Ergonomics Checkpoints: Practical Solutions for Improving Safety, Health and Working Conditions*.</w:t>
      </w:r>
    </w:p>
    <w:p w14:paraId="6EFDFC1C" w14:textId="77777777" w:rsidR="006C419D" w:rsidRPr="006C419D" w:rsidRDefault="006C419D" w:rsidP="006C419D">
      <w:pPr>
        <w:numPr>
          <w:ilvl w:val="0"/>
          <w:numId w:val="57"/>
        </w:numPr>
        <w:jc w:val="both"/>
      </w:pPr>
      <w:r w:rsidRPr="006C419D">
        <w:rPr>
          <w:lang w:val="en-GB"/>
        </w:rPr>
        <w:t xml:space="preserve">Jan Dul, &amp; Neumann, W. P. (2009). Ergonomics contributions to company strategies. </w:t>
      </w:r>
      <w:r w:rsidRPr="006C419D">
        <w:t>*</w:t>
      </w:r>
      <w:proofErr w:type="spellStart"/>
      <w:r w:rsidRPr="006C419D">
        <w:t>Applied</w:t>
      </w:r>
      <w:proofErr w:type="spellEnd"/>
      <w:r w:rsidRPr="006C419D">
        <w:t xml:space="preserve"> </w:t>
      </w:r>
      <w:proofErr w:type="spellStart"/>
      <w:r w:rsidRPr="006C419D">
        <w:t>Ergonomics</w:t>
      </w:r>
      <w:proofErr w:type="spellEnd"/>
      <w:r w:rsidRPr="006C419D">
        <w:t>*, 40(4), 745–752.</w:t>
      </w:r>
    </w:p>
    <w:p w14:paraId="20BDB636" w14:textId="77777777" w:rsidR="006C419D" w:rsidRPr="006C419D" w:rsidRDefault="006C419D" w:rsidP="006C419D">
      <w:pPr>
        <w:numPr>
          <w:ilvl w:val="0"/>
          <w:numId w:val="57"/>
        </w:numPr>
        <w:jc w:val="both"/>
      </w:pPr>
      <w:r w:rsidRPr="006C419D">
        <w:rPr>
          <w:lang w:val="en-GB"/>
        </w:rPr>
        <w:t xml:space="preserve">Wilson, J. R., &amp; Haines, H. M. (1997). Participatory Ergonomics. En *Handbook of Human Factors and Ergonomics*. </w:t>
      </w:r>
      <w:r w:rsidRPr="006C419D">
        <w:t>Wiley.</w:t>
      </w:r>
    </w:p>
    <w:p w14:paraId="0C4A7CB5" w14:textId="77777777" w:rsidR="00A42758" w:rsidRDefault="00A42758" w:rsidP="00043CFC">
      <w:pPr>
        <w:jc w:val="both"/>
      </w:pPr>
    </w:p>
    <w:p w14:paraId="7836097E" w14:textId="77777777" w:rsidR="006C419D" w:rsidRDefault="006C419D" w:rsidP="00043CFC">
      <w:pPr>
        <w:jc w:val="both"/>
      </w:pPr>
    </w:p>
    <w:p w14:paraId="2BFD7C13" w14:textId="77777777" w:rsidR="006C419D" w:rsidRDefault="006C419D" w:rsidP="00043CFC">
      <w:pPr>
        <w:jc w:val="both"/>
      </w:pPr>
    </w:p>
    <w:p w14:paraId="72F5DD92" w14:textId="77777777" w:rsidR="006C419D" w:rsidRDefault="006C419D" w:rsidP="00043CFC">
      <w:pPr>
        <w:jc w:val="both"/>
      </w:pPr>
    </w:p>
    <w:p w14:paraId="4A1FAF1A" w14:textId="77777777" w:rsidR="006C419D" w:rsidRDefault="006C419D" w:rsidP="00043CFC">
      <w:pPr>
        <w:jc w:val="both"/>
      </w:pPr>
    </w:p>
    <w:p w14:paraId="13BD3627" w14:textId="77777777" w:rsidR="006C419D" w:rsidRDefault="006C419D" w:rsidP="00043CFC">
      <w:pPr>
        <w:jc w:val="both"/>
      </w:pPr>
    </w:p>
    <w:p w14:paraId="2D6FBF6A" w14:textId="77777777" w:rsidR="006C419D" w:rsidRDefault="006C419D" w:rsidP="00043CFC">
      <w:pPr>
        <w:jc w:val="both"/>
      </w:pPr>
    </w:p>
    <w:p w14:paraId="647A9ECA" w14:textId="77777777" w:rsidR="006C419D" w:rsidRDefault="006C419D" w:rsidP="00043CFC">
      <w:pPr>
        <w:jc w:val="both"/>
      </w:pPr>
    </w:p>
    <w:p w14:paraId="2FB57151" w14:textId="77777777" w:rsidR="006C419D" w:rsidRDefault="006C419D" w:rsidP="00043CFC">
      <w:pPr>
        <w:jc w:val="both"/>
      </w:pPr>
    </w:p>
    <w:p w14:paraId="5FC159B6" w14:textId="77777777" w:rsidR="006C419D" w:rsidRDefault="006C419D" w:rsidP="00043CFC">
      <w:pPr>
        <w:jc w:val="both"/>
      </w:pPr>
    </w:p>
    <w:p w14:paraId="45FBDD79" w14:textId="77777777" w:rsidR="006C419D" w:rsidRDefault="006C419D" w:rsidP="00043CFC">
      <w:pPr>
        <w:jc w:val="both"/>
      </w:pPr>
    </w:p>
    <w:p w14:paraId="55534665" w14:textId="77777777" w:rsidR="006C419D" w:rsidRDefault="006C419D" w:rsidP="00043CFC">
      <w:pPr>
        <w:jc w:val="both"/>
      </w:pPr>
    </w:p>
    <w:p w14:paraId="4F7E8CAC" w14:textId="77777777" w:rsidR="006C419D" w:rsidRDefault="006C419D" w:rsidP="00043CFC">
      <w:pPr>
        <w:jc w:val="both"/>
      </w:pPr>
    </w:p>
    <w:p w14:paraId="7FA4CD4E" w14:textId="77777777" w:rsidR="006C419D" w:rsidRDefault="006C419D" w:rsidP="00043CFC">
      <w:pPr>
        <w:jc w:val="both"/>
      </w:pPr>
    </w:p>
    <w:p w14:paraId="716DC21B" w14:textId="77777777" w:rsidR="006C419D" w:rsidRDefault="006C419D" w:rsidP="00043CFC">
      <w:pPr>
        <w:jc w:val="both"/>
      </w:pPr>
    </w:p>
    <w:p w14:paraId="4A43574E" w14:textId="77777777" w:rsidR="006C419D" w:rsidRDefault="006C419D" w:rsidP="00043CFC">
      <w:pPr>
        <w:jc w:val="both"/>
      </w:pPr>
    </w:p>
    <w:p w14:paraId="093D425F" w14:textId="77777777" w:rsidR="006C419D" w:rsidRDefault="006C419D" w:rsidP="00043CFC">
      <w:pPr>
        <w:jc w:val="both"/>
      </w:pPr>
    </w:p>
    <w:p w14:paraId="2F535D89" w14:textId="77777777" w:rsidR="006C419D" w:rsidRDefault="006C419D" w:rsidP="00043CFC">
      <w:pPr>
        <w:jc w:val="both"/>
      </w:pPr>
    </w:p>
    <w:p w14:paraId="01125C7F" w14:textId="77777777" w:rsidR="006C419D" w:rsidRDefault="006C419D" w:rsidP="00043CFC">
      <w:pPr>
        <w:jc w:val="both"/>
      </w:pPr>
    </w:p>
    <w:p w14:paraId="335C33E0" w14:textId="77777777" w:rsidR="006C419D" w:rsidRDefault="006C419D" w:rsidP="00043CFC">
      <w:pPr>
        <w:jc w:val="both"/>
      </w:pPr>
    </w:p>
    <w:p w14:paraId="4F3B4C89" w14:textId="77777777" w:rsidR="006C419D" w:rsidRDefault="006C419D" w:rsidP="00043CFC">
      <w:pPr>
        <w:jc w:val="both"/>
      </w:pPr>
    </w:p>
    <w:p w14:paraId="27223F80" w14:textId="77777777" w:rsidR="00B374B1" w:rsidRPr="00B374B1" w:rsidRDefault="00B374B1" w:rsidP="00B374B1">
      <w:pPr>
        <w:jc w:val="both"/>
      </w:pPr>
      <w:r w:rsidRPr="00B374B1">
        <w:rPr>
          <w:b/>
        </w:rPr>
        <w:lastRenderedPageBreak/>
        <w:t>Conciliación de la vida laboral, personal y familiar: un factor de bienestar para el personal sanitario y no sanitario</w:t>
      </w:r>
    </w:p>
    <w:p w14:paraId="67EAD588" w14:textId="77777777" w:rsidR="00B374B1" w:rsidRPr="00B374B1" w:rsidRDefault="00B374B1" w:rsidP="00B374B1">
      <w:pPr>
        <w:jc w:val="both"/>
        <w:rPr>
          <w:b/>
        </w:rPr>
      </w:pPr>
      <w:r w:rsidRPr="00B374B1">
        <w:rPr>
          <w:b/>
        </w:rPr>
        <w:t>Introducción</w:t>
      </w:r>
    </w:p>
    <w:p w14:paraId="370EBFE9" w14:textId="77777777" w:rsidR="00B374B1" w:rsidRPr="00B374B1" w:rsidRDefault="00B374B1" w:rsidP="00B374B1">
      <w:pPr>
        <w:jc w:val="both"/>
      </w:pPr>
      <w:r w:rsidRPr="00B374B1">
        <w:t>La conciliación de la vida laboral, personal y familiar constituye uno de los principales retos de las organizaciones modernas. La posibilidad de compatibilizar las responsabilidades profesionales con las necesidades familiares y personales influye directamente en la salud, la satisfacción laboral y la calidad de vida de los trabajadores.</w:t>
      </w:r>
    </w:p>
    <w:p w14:paraId="4BE53100" w14:textId="77777777" w:rsidR="00B374B1" w:rsidRPr="00B374B1" w:rsidRDefault="00B374B1" w:rsidP="00B374B1">
      <w:pPr>
        <w:jc w:val="both"/>
      </w:pPr>
      <w:r w:rsidRPr="00B374B1">
        <w:t>En el ámbito sanitario, la atención continuada, la turnicidad, el trabajo nocturno y la cobertura de servicios durante los fines de semana pueden dificultar el equilibrio entre la actividad laboral y la vida personal. Del mismo modo, el personal no sanitario, como auxiliares administrativos, celadores, personal de limpieza, cocina, lavandería, mantenimiento o servicios generales, también puede experimentar dificultades derivadas de horarios rotatorios, jornadas prolongadas o necesidades organizativas.</w:t>
      </w:r>
    </w:p>
    <w:p w14:paraId="3295A14C" w14:textId="77777777" w:rsidR="00B374B1" w:rsidRPr="00B374B1" w:rsidRDefault="00B374B1" w:rsidP="00B374B1">
      <w:pPr>
        <w:jc w:val="both"/>
      </w:pPr>
      <w:r w:rsidRPr="00B374B1">
        <w:t>Las organizaciones que favorecen políticas de conciliación obtienen beneficios tanto para los trabajadores como para la propia institución, mejorando el compromiso profesional, reduciendo el absentismo y favoreciendo un clima laboral positivo.</w:t>
      </w:r>
    </w:p>
    <w:p w14:paraId="3159A159" w14:textId="77777777" w:rsidR="00B374B1" w:rsidRPr="00B374B1" w:rsidRDefault="00B374B1" w:rsidP="00B374B1">
      <w:pPr>
        <w:jc w:val="both"/>
        <w:rPr>
          <w:b/>
        </w:rPr>
      </w:pPr>
      <w:r w:rsidRPr="00B374B1">
        <w:rPr>
          <w:b/>
        </w:rPr>
        <w:t>Objetivo</w:t>
      </w:r>
    </w:p>
    <w:p w14:paraId="568FAAC6" w14:textId="77777777" w:rsidR="00B374B1" w:rsidRPr="00B374B1" w:rsidRDefault="00B374B1" w:rsidP="00B374B1">
      <w:pPr>
        <w:jc w:val="both"/>
      </w:pPr>
      <w:r w:rsidRPr="00B374B1">
        <w:t>Analizar la importancia de la conciliación de la vida laboral, personal y familiar como elemento de promoción de la salud y describir las principales medidas organizativas que favorecen el bienestar del personal sanitario y no sanitario.</w:t>
      </w:r>
    </w:p>
    <w:p w14:paraId="609746CB" w14:textId="77777777" w:rsidR="00B374B1" w:rsidRPr="00B374B1" w:rsidRDefault="00B374B1" w:rsidP="00B374B1">
      <w:pPr>
        <w:jc w:val="both"/>
        <w:rPr>
          <w:b/>
        </w:rPr>
      </w:pPr>
      <w:r w:rsidRPr="00B374B1">
        <w:rPr>
          <w:b/>
        </w:rPr>
        <w:t>Material y método</w:t>
      </w:r>
    </w:p>
    <w:p w14:paraId="2683C3EC" w14:textId="77777777" w:rsidR="00B374B1" w:rsidRPr="00B374B1" w:rsidRDefault="00B374B1" w:rsidP="00B374B1">
      <w:pPr>
        <w:jc w:val="both"/>
      </w:pPr>
      <w:r w:rsidRPr="00B374B1">
        <w:t xml:space="preserve">Se realizó una revisión bibliográfica descriptiva mediante la consulta de artículos científicos, revisiones sistemáticas y documentos institucionales publicados entre 2016 y 2025. Se revisaron las bases de datos PubMed, </w:t>
      </w:r>
      <w:proofErr w:type="spellStart"/>
      <w:r w:rsidRPr="00B374B1">
        <w:t>Scopus</w:t>
      </w:r>
      <w:proofErr w:type="spellEnd"/>
      <w:r w:rsidRPr="00B374B1">
        <w:t xml:space="preserve"> y Google Scholar, además de publicaciones de organismos nacionales e internacionales relacionadas con salud laboral, organización del trabajo y bienestar de los trabajadores.</w:t>
      </w:r>
    </w:p>
    <w:p w14:paraId="27FFF6F9" w14:textId="77777777" w:rsidR="00B374B1" w:rsidRPr="00B374B1" w:rsidRDefault="00B374B1" w:rsidP="00B374B1">
      <w:pPr>
        <w:jc w:val="both"/>
      </w:pPr>
      <w:r w:rsidRPr="00B374B1">
        <w:t>Se seleccionaron estudios sobre conciliación, calidad de vida laboral, satisfacción profesional y factores psicosociales.</w:t>
      </w:r>
    </w:p>
    <w:p w14:paraId="21B277D0" w14:textId="77777777" w:rsidR="00B374B1" w:rsidRPr="00B374B1" w:rsidRDefault="00B374B1" w:rsidP="00B374B1">
      <w:pPr>
        <w:jc w:val="both"/>
        <w:rPr>
          <w:b/>
        </w:rPr>
      </w:pPr>
      <w:r w:rsidRPr="00B374B1">
        <w:rPr>
          <w:b/>
        </w:rPr>
        <w:t>Resultados</w:t>
      </w:r>
    </w:p>
    <w:p w14:paraId="56AB39BB" w14:textId="77777777" w:rsidR="00B374B1" w:rsidRPr="00B374B1" w:rsidRDefault="00B374B1" w:rsidP="00B374B1">
      <w:pPr>
        <w:jc w:val="both"/>
      </w:pPr>
      <w:r w:rsidRPr="00B374B1">
        <w:t>La literatura científica demuestra que la conciliación laboral y familiar se asocia con menores niveles de estrés, agotamiento emocional y fatiga, así como con una mayor satisfacción laboral y compromiso con la organización.</w:t>
      </w:r>
    </w:p>
    <w:p w14:paraId="01D2AC9B" w14:textId="77777777" w:rsidR="00B374B1" w:rsidRPr="00B374B1" w:rsidRDefault="00B374B1" w:rsidP="00B374B1">
      <w:pPr>
        <w:jc w:val="both"/>
      </w:pPr>
      <w:r w:rsidRPr="00B374B1">
        <w:lastRenderedPageBreak/>
        <w:t>Los estudios indican que la flexibilidad organizativa, cuando es compatible con las necesidades del servicio, facilita una mejor adaptación de los trabajadores a las responsabilidades familiares y personales. La planificación anticipada de los turnos, la equidad en la distribución de horarios y la posibilidad de solicitar cambios justificados contribuyen a disminuir los conflictos entre la vida laboral y la personal.</w:t>
      </w:r>
    </w:p>
    <w:p w14:paraId="0A34587B" w14:textId="77777777" w:rsidR="00B374B1" w:rsidRPr="00B374B1" w:rsidRDefault="00B374B1" w:rsidP="00B374B1">
      <w:pPr>
        <w:jc w:val="both"/>
      </w:pPr>
      <w:r w:rsidRPr="00B374B1">
        <w:t>En el ámbito sanitario, estas medidas favorecen la continuidad asistencial al reducir la rotación del personal y mejorar la motivación de los profesionales. En el personal no sanitario, la conciliación también se relaciona con un mayor bienestar psicológico, una disminución del absentismo y un incremento del rendimiento laboral.</w:t>
      </w:r>
    </w:p>
    <w:p w14:paraId="15331392" w14:textId="77777777" w:rsidR="00B374B1" w:rsidRPr="00B374B1" w:rsidRDefault="00B374B1" w:rsidP="00B374B1">
      <w:pPr>
        <w:jc w:val="both"/>
      </w:pPr>
      <w:r w:rsidRPr="00B374B1">
        <w:t>La revisión destaca además la importancia del apoyo de los responsables, la comunicación entre los equipos y el respeto por los tiempos de descanso como factores que fortalecen la conciliación. Igualmente, los programas de promoción de la salud laboral y bienestar emocional ayudan a mejorar la adaptación a las exigencias del trabajo.</w:t>
      </w:r>
    </w:p>
    <w:p w14:paraId="63828AF0" w14:textId="77777777" w:rsidR="00B374B1" w:rsidRPr="00B374B1" w:rsidRDefault="00B374B1" w:rsidP="00B374B1">
      <w:pPr>
        <w:jc w:val="both"/>
      </w:pPr>
      <w:r w:rsidRPr="00B374B1">
        <w:t>La evidencia científica señala que las organizaciones comprometidas con la conciliación desarrollan entornos laborales más saludables, incrementan la fidelización de los trabajadores y mejoran la calidad de los servicios prestados.</w:t>
      </w:r>
    </w:p>
    <w:p w14:paraId="22191203" w14:textId="77777777" w:rsidR="00B374B1" w:rsidRPr="00B374B1" w:rsidRDefault="00B374B1" w:rsidP="00B374B1">
      <w:pPr>
        <w:jc w:val="both"/>
        <w:rPr>
          <w:b/>
        </w:rPr>
      </w:pPr>
      <w:r w:rsidRPr="00B374B1">
        <w:rPr>
          <w:b/>
        </w:rPr>
        <w:t>Conclusiones</w:t>
      </w:r>
    </w:p>
    <w:p w14:paraId="36D4BFC7" w14:textId="77777777" w:rsidR="00B374B1" w:rsidRPr="00B374B1" w:rsidRDefault="00B374B1" w:rsidP="00B374B1">
      <w:pPr>
        <w:jc w:val="both"/>
      </w:pPr>
      <w:r w:rsidRPr="00B374B1">
        <w:t>La conciliación de la vida laboral, personal y familiar constituye un elemento esencial para proteger la salud física y emocional del personal sanitario y no sanitario.</w:t>
      </w:r>
    </w:p>
    <w:p w14:paraId="1ACE0219" w14:textId="77777777" w:rsidR="00B374B1" w:rsidRPr="00B374B1" w:rsidRDefault="00B374B1" w:rsidP="00B374B1">
      <w:pPr>
        <w:jc w:val="both"/>
      </w:pPr>
      <w:r w:rsidRPr="00B374B1">
        <w:t>La implantación de medidas organizativas que favorezcan el equilibrio entre el trabajo y la vida personal repercute positivamente en la satisfacción profesional, la motivación y la calidad de la atención ofrecida.</w:t>
      </w:r>
    </w:p>
    <w:p w14:paraId="6C333386" w14:textId="77777777" w:rsidR="00B374B1" w:rsidRPr="00B374B1" w:rsidRDefault="00B374B1" w:rsidP="00B374B1">
      <w:pPr>
        <w:jc w:val="both"/>
      </w:pPr>
      <w:r w:rsidRPr="00B374B1">
        <w:t>Promover políticas de conciliación, junto con una adecuada planificación de los recursos humanos y una cultura organizativa basada en el respeto y la corresponsabilidad, contribuye a crear entornos laborales más saludables, sostenibles y orientados al bienestar de las personas.</w:t>
      </w:r>
    </w:p>
    <w:p w14:paraId="034C8F99" w14:textId="77777777" w:rsidR="00B374B1" w:rsidRPr="00B374B1" w:rsidRDefault="00B374B1" w:rsidP="00B374B1">
      <w:pPr>
        <w:jc w:val="both"/>
        <w:rPr>
          <w:b/>
        </w:rPr>
      </w:pPr>
      <w:r w:rsidRPr="00B374B1">
        <w:rPr>
          <w:b/>
        </w:rPr>
        <w:t>Bibliografía</w:t>
      </w:r>
    </w:p>
    <w:p w14:paraId="2B2D940F" w14:textId="77777777" w:rsidR="00B374B1" w:rsidRPr="00B374B1" w:rsidRDefault="00B374B1" w:rsidP="00B374B1">
      <w:pPr>
        <w:numPr>
          <w:ilvl w:val="0"/>
          <w:numId w:val="58"/>
        </w:numPr>
        <w:jc w:val="both"/>
        <w:rPr>
          <w:lang w:val="en-GB"/>
        </w:rPr>
      </w:pPr>
      <w:r w:rsidRPr="00B374B1">
        <w:rPr>
          <w:lang w:val="en-GB"/>
        </w:rPr>
        <w:t xml:space="preserve">Organización Internacional del </w:t>
      </w:r>
      <w:proofErr w:type="spellStart"/>
      <w:r w:rsidRPr="00B374B1">
        <w:rPr>
          <w:lang w:val="en-GB"/>
        </w:rPr>
        <w:t>Trabajo</w:t>
      </w:r>
      <w:proofErr w:type="spellEnd"/>
      <w:r w:rsidRPr="00B374B1">
        <w:rPr>
          <w:lang w:val="en-GB"/>
        </w:rPr>
        <w:t>. (2023). *Care at Work: Investing in Care Leave and Services for a More Gender Equal World of Work*.</w:t>
      </w:r>
    </w:p>
    <w:p w14:paraId="0E95D520" w14:textId="77777777" w:rsidR="00B374B1" w:rsidRPr="00B374B1" w:rsidRDefault="00B374B1" w:rsidP="00B374B1">
      <w:pPr>
        <w:numPr>
          <w:ilvl w:val="0"/>
          <w:numId w:val="58"/>
        </w:numPr>
        <w:jc w:val="both"/>
      </w:pPr>
      <w:r w:rsidRPr="00B374B1">
        <w:t>Organización Mundial de la Salud. (2022). *Mental Health at Work*.</w:t>
      </w:r>
    </w:p>
    <w:p w14:paraId="251DF6A8" w14:textId="77777777" w:rsidR="00B374B1" w:rsidRPr="00B374B1" w:rsidRDefault="00B374B1" w:rsidP="00B374B1">
      <w:pPr>
        <w:numPr>
          <w:ilvl w:val="0"/>
          <w:numId w:val="58"/>
        </w:numPr>
        <w:jc w:val="both"/>
        <w:rPr>
          <w:lang w:val="en-GB"/>
        </w:rPr>
      </w:pPr>
      <w:r w:rsidRPr="00B374B1">
        <w:t xml:space="preserve">Agencia Europea para la Seguridad y la Salud en el Trabajo. </w:t>
      </w:r>
      <w:r w:rsidRPr="00B374B1">
        <w:rPr>
          <w:lang w:val="en-GB"/>
        </w:rPr>
        <w:t>(2024). *Psychosocial Risks and Well-being at Work*.</w:t>
      </w:r>
    </w:p>
    <w:p w14:paraId="098C5032" w14:textId="77777777" w:rsidR="00B374B1" w:rsidRPr="00B374B1" w:rsidRDefault="00B374B1" w:rsidP="00B374B1">
      <w:pPr>
        <w:numPr>
          <w:ilvl w:val="0"/>
          <w:numId w:val="58"/>
        </w:numPr>
        <w:jc w:val="both"/>
      </w:pPr>
      <w:r w:rsidRPr="00B374B1">
        <w:lastRenderedPageBreak/>
        <w:t>Instituto Nacional de Seguridad y Salud en el Trabajo. (2024). *Factores psicosociales y organización del trabajo*.</w:t>
      </w:r>
    </w:p>
    <w:p w14:paraId="66ED3460" w14:textId="77777777" w:rsidR="00B374B1" w:rsidRPr="00B374B1" w:rsidRDefault="00B374B1" w:rsidP="00B374B1">
      <w:pPr>
        <w:numPr>
          <w:ilvl w:val="0"/>
          <w:numId w:val="58"/>
        </w:numPr>
        <w:jc w:val="both"/>
      </w:pPr>
      <w:r w:rsidRPr="00B374B1">
        <w:rPr>
          <w:lang w:val="en-GB"/>
        </w:rPr>
        <w:t xml:space="preserve">Greenhaus, J. H., &amp; Allen, T. D. (2017). *Work–Family Balance: A Review and Extension of the Literature*. </w:t>
      </w:r>
      <w:proofErr w:type="spellStart"/>
      <w:r w:rsidRPr="00B374B1">
        <w:t>Journal</w:t>
      </w:r>
      <w:proofErr w:type="spellEnd"/>
      <w:r w:rsidRPr="00B374B1">
        <w:t xml:space="preserve"> of Management.</w:t>
      </w:r>
    </w:p>
    <w:p w14:paraId="19723113" w14:textId="77777777" w:rsidR="006C419D" w:rsidRDefault="006C419D" w:rsidP="00043CFC">
      <w:pPr>
        <w:jc w:val="both"/>
      </w:pPr>
    </w:p>
    <w:p w14:paraId="759E71F6" w14:textId="77777777" w:rsidR="00B374B1" w:rsidRDefault="00B374B1" w:rsidP="00043CFC">
      <w:pPr>
        <w:jc w:val="both"/>
      </w:pPr>
    </w:p>
    <w:p w14:paraId="06154707" w14:textId="77777777" w:rsidR="00B374B1" w:rsidRDefault="00B374B1" w:rsidP="00043CFC">
      <w:pPr>
        <w:jc w:val="both"/>
      </w:pPr>
    </w:p>
    <w:p w14:paraId="6DDA39ED" w14:textId="77777777" w:rsidR="00B374B1" w:rsidRDefault="00B374B1" w:rsidP="00043CFC">
      <w:pPr>
        <w:jc w:val="both"/>
      </w:pPr>
    </w:p>
    <w:p w14:paraId="11C4DBD8" w14:textId="77777777" w:rsidR="00B374B1" w:rsidRDefault="00B374B1" w:rsidP="00043CFC">
      <w:pPr>
        <w:jc w:val="both"/>
      </w:pPr>
    </w:p>
    <w:p w14:paraId="5BADFA8E" w14:textId="77777777" w:rsidR="00B374B1" w:rsidRDefault="00B374B1" w:rsidP="00043CFC">
      <w:pPr>
        <w:jc w:val="both"/>
      </w:pPr>
    </w:p>
    <w:p w14:paraId="7DAAEAB4" w14:textId="77777777" w:rsidR="00B374B1" w:rsidRDefault="00B374B1" w:rsidP="00043CFC">
      <w:pPr>
        <w:jc w:val="both"/>
      </w:pPr>
    </w:p>
    <w:p w14:paraId="54654C7D" w14:textId="77777777" w:rsidR="00B374B1" w:rsidRDefault="00B374B1" w:rsidP="00043CFC">
      <w:pPr>
        <w:jc w:val="both"/>
      </w:pPr>
    </w:p>
    <w:p w14:paraId="688E3C2F" w14:textId="77777777" w:rsidR="00B374B1" w:rsidRDefault="00B374B1" w:rsidP="00043CFC">
      <w:pPr>
        <w:jc w:val="both"/>
      </w:pPr>
    </w:p>
    <w:p w14:paraId="46BE8A33" w14:textId="77777777" w:rsidR="00B374B1" w:rsidRDefault="00B374B1" w:rsidP="00043CFC">
      <w:pPr>
        <w:jc w:val="both"/>
      </w:pPr>
    </w:p>
    <w:p w14:paraId="2BD68FA3" w14:textId="77777777" w:rsidR="00B374B1" w:rsidRDefault="00B374B1" w:rsidP="00043CFC">
      <w:pPr>
        <w:jc w:val="both"/>
      </w:pPr>
    </w:p>
    <w:p w14:paraId="039A635B" w14:textId="77777777" w:rsidR="00B374B1" w:rsidRDefault="00B374B1" w:rsidP="00043CFC">
      <w:pPr>
        <w:jc w:val="both"/>
      </w:pPr>
    </w:p>
    <w:p w14:paraId="0B745389" w14:textId="77777777" w:rsidR="00B374B1" w:rsidRDefault="00B374B1" w:rsidP="00043CFC">
      <w:pPr>
        <w:jc w:val="both"/>
      </w:pPr>
    </w:p>
    <w:p w14:paraId="3355A7BD" w14:textId="77777777" w:rsidR="00B374B1" w:rsidRDefault="00B374B1" w:rsidP="00043CFC">
      <w:pPr>
        <w:jc w:val="both"/>
      </w:pPr>
    </w:p>
    <w:p w14:paraId="3764CF7A" w14:textId="77777777" w:rsidR="00B374B1" w:rsidRDefault="00B374B1" w:rsidP="00043CFC">
      <w:pPr>
        <w:jc w:val="both"/>
      </w:pPr>
    </w:p>
    <w:p w14:paraId="6F932122" w14:textId="77777777" w:rsidR="00B374B1" w:rsidRDefault="00B374B1" w:rsidP="00043CFC">
      <w:pPr>
        <w:jc w:val="both"/>
      </w:pPr>
    </w:p>
    <w:p w14:paraId="78CABE78" w14:textId="77777777" w:rsidR="00B374B1" w:rsidRDefault="00B374B1" w:rsidP="00043CFC">
      <w:pPr>
        <w:jc w:val="both"/>
      </w:pPr>
    </w:p>
    <w:p w14:paraId="53E4DAB8" w14:textId="77777777" w:rsidR="00B374B1" w:rsidRDefault="00B374B1" w:rsidP="00043CFC">
      <w:pPr>
        <w:jc w:val="both"/>
      </w:pPr>
    </w:p>
    <w:p w14:paraId="764265EB" w14:textId="77777777" w:rsidR="00B374B1" w:rsidRDefault="00B374B1" w:rsidP="00043CFC">
      <w:pPr>
        <w:jc w:val="both"/>
      </w:pPr>
    </w:p>
    <w:p w14:paraId="5D8600F2" w14:textId="77777777" w:rsidR="00B374B1" w:rsidRDefault="00B374B1" w:rsidP="00043CFC">
      <w:pPr>
        <w:jc w:val="both"/>
      </w:pPr>
    </w:p>
    <w:p w14:paraId="21D8CE8C" w14:textId="77777777" w:rsidR="00B374B1" w:rsidRDefault="00B374B1" w:rsidP="00043CFC">
      <w:pPr>
        <w:jc w:val="both"/>
      </w:pPr>
    </w:p>
    <w:p w14:paraId="4DFD8BF2" w14:textId="77777777" w:rsidR="00B374B1" w:rsidRDefault="00B374B1" w:rsidP="00043CFC">
      <w:pPr>
        <w:jc w:val="both"/>
      </w:pPr>
    </w:p>
    <w:p w14:paraId="66932EB3" w14:textId="77777777" w:rsidR="00B374B1" w:rsidRDefault="00B374B1" w:rsidP="00043CFC">
      <w:pPr>
        <w:jc w:val="both"/>
      </w:pPr>
    </w:p>
    <w:p w14:paraId="610C2BAA" w14:textId="77777777" w:rsidR="00B374B1" w:rsidRDefault="00B374B1" w:rsidP="00043CFC">
      <w:pPr>
        <w:jc w:val="both"/>
      </w:pPr>
    </w:p>
    <w:p w14:paraId="6C60E13C" w14:textId="77777777" w:rsidR="00B374B1" w:rsidRDefault="00B374B1" w:rsidP="00043CFC">
      <w:pPr>
        <w:jc w:val="both"/>
      </w:pPr>
    </w:p>
    <w:p w14:paraId="3104130F" w14:textId="77777777" w:rsidR="008504B9" w:rsidRPr="008504B9" w:rsidRDefault="008504B9" w:rsidP="008504B9">
      <w:pPr>
        <w:jc w:val="both"/>
      </w:pPr>
      <w:r w:rsidRPr="008504B9">
        <w:rPr>
          <w:b/>
        </w:rPr>
        <w:lastRenderedPageBreak/>
        <w:t>Fatiga asociada al trabajo por turnos: impacto sobre la seguridad y el rendimiento del personal sanitario y no sanitario</w:t>
      </w:r>
    </w:p>
    <w:p w14:paraId="045BF14E" w14:textId="77777777" w:rsidR="008504B9" w:rsidRPr="008504B9" w:rsidRDefault="008504B9" w:rsidP="008504B9">
      <w:pPr>
        <w:jc w:val="both"/>
        <w:rPr>
          <w:b/>
        </w:rPr>
      </w:pPr>
      <w:r w:rsidRPr="008504B9">
        <w:rPr>
          <w:b/>
        </w:rPr>
        <w:t>Introducción</w:t>
      </w:r>
    </w:p>
    <w:p w14:paraId="5645026B" w14:textId="77777777" w:rsidR="008504B9" w:rsidRPr="008504B9" w:rsidRDefault="008504B9" w:rsidP="008504B9">
      <w:pPr>
        <w:jc w:val="both"/>
      </w:pPr>
      <w:r w:rsidRPr="008504B9">
        <w:t>La organización del trabajo mediante turnos es indispensable para garantizar la continuidad de numerosos servicios esenciales, especialmente en hospitales, centros sociosanitarios y otras instituciones que mantienen actividad durante las veinticuatro horas del día. Este modelo afecta tanto al personal sanitario como al no sanitario, incluyendo profesionales de enfermería, técnicos, médicos, celadores, personal administrativo, limpieza, mantenimiento, cocina, lavandería y seguridad.</w:t>
      </w:r>
    </w:p>
    <w:p w14:paraId="307AAED8" w14:textId="77777777" w:rsidR="008504B9" w:rsidRPr="008504B9" w:rsidRDefault="008504B9" w:rsidP="008504B9">
      <w:pPr>
        <w:jc w:val="both"/>
      </w:pPr>
      <w:r w:rsidRPr="008504B9">
        <w:t>Aunque la turnicidad permite ofrecer una atención continuada, también modifica los ritmos biológicos naturales del organismo. La alteración del ciclo sueño-vigilia puede provocar fatiga física y mental, disminución del estado de alerta y dificultades para la recuperación, factores que repercuten tanto en la salud del trabajador como en la seguridad de los procesos asistenciales y organizativos.</w:t>
      </w:r>
    </w:p>
    <w:p w14:paraId="6D92647D" w14:textId="77777777" w:rsidR="008504B9" w:rsidRPr="008504B9" w:rsidRDefault="008504B9" w:rsidP="008504B9">
      <w:pPr>
        <w:jc w:val="both"/>
      </w:pPr>
      <w:r w:rsidRPr="008504B9">
        <w:t>La prevención de la fatiga laboral constituye una prioridad dentro de la salud laboral, ya que contribuye a disminuir la aparición de errores, accidentes y problemas de salud relacionados con el trabajo a turnos.</w:t>
      </w:r>
    </w:p>
    <w:p w14:paraId="24260F51" w14:textId="77777777" w:rsidR="008504B9" w:rsidRPr="008504B9" w:rsidRDefault="008504B9" w:rsidP="008504B9">
      <w:pPr>
        <w:jc w:val="both"/>
        <w:rPr>
          <w:b/>
        </w:rPr>
      </w:pPr>
      <w:r w:rsidRPr="008504B9">
        <w:rPr>
          <w:b/>
        </w:rPr>
        <w:t>Objetivo</w:t>
      </w:r>
    </w:p>
    <w:p w14:paraId="63264C4C" w14:textId="77777777" w:rsidR="008504B9" w:rsidRPr="008504B9" w:rsidRDefault="008504B9" w:rsidP="008504B9">
      <w:pPr>
        <w:jc w:val="both"/>
      </w:pPr>
      <w:r w:rsidRPr="008504B9">
        <w:t>Analizar la influencia del trabajo por turnos sobre la fatiga laboral y describir las principales estrategias preventivas destinadas a mejorar el rendimiento, la seguridad y el bienestar del personal sanitario y no sanitario.</w:t>
      </w:r>
    </w:p>
    <w:p w14:paraId="4F49F073" w14:textId="77777777" w:rsidR="008504B9" w:rsidRPr="008504B9" w:rsidRDefault="008504B9" w:rsidP="008504B9">
      <w:pPr>
        <w:jc w:val="both"/>
        <w:rPr>
          <w:b/>
        </w:rPr>
      </w:pPr>
      <w:r w:rsidRPr="008504B9">
        <w:rPr>
          <w:b/>
        </w:rPr>
        <w:t>Material y método</w:t>
      </w:r>
    </w:p>
    <w:p w14:paraId="629A5ABF" w14:textId="77777777" w:rsidR="008504B9" w:rsidRPr="008504B9" w:rsidRDefault="008504B9" w:rsidP="008504B9">
      <w:pPr>
        <w:jc w:val="both"/>
      </w:pPr>
      <w:r w:rsidRPr="008504B9">
        <w:t xml:space="preserve">Se realizó una revisión bibliográfica descriptiva mediante la consulta de artículos científicos, revisiones sistemáticas y documentos técnicos publicados entre 2016 y 2025. Se revisaron las bases de datos PubMed, </w:t>
      </w:r>
      <w:proofErr w:type="spellStart"/>
      <w:r w:rsidRPr="008504B9">
        <w:t>Scopus</w:t>
      </w:r>
      <w:proofErr w:type="spellEnd"/>
      <w:r w:rsidRPr="008504B9">
        <w:t xml:space="preserve"> y Google Scholar, además de publicaciones de organismos especializados en salud laboral, cronobiología y organización del trabajo.</w:t>
      </w:r>
    </w:p>
    <w:p w14:paraId="56982B99" w14:textId="77777777" w:rsidR="008504B9" w:rsidRPr="008504B9" w:rsidRDefault="008504B9" w:rsidP="008504B9">
      <w:pPr>
        <w:jc w:val="both"/>
      </w:pPr>
      <w:r w:rsidRPr="008504B9">
        <w:t>Se incluyeron investigaciones relacionadas con trabajo nocturno, fatiga ocupacional, rendimiento laboral y medidas preventivas en trabajadores con horarios rotatorios.</w:t>
      </w:r>
    </w:p>
    <w:p w14:paraId="26CD8119" w14:textId="77777777" w:rsidR="008504B9" w:rsidRPr="008504B9" w:rsidRDefault="008504B9" w:rsidP="008504B9">
      <w:pPr>
        <w:jc w:val="both"/>
        <w:rPr>
          <w:b/>
        </w:rPr>
      </w:pPr>
      <w:r w:rsidRPr="008504B9">
        <w:rPr>
          <w:b/>
        </w:rPr>
        <w:t>Resultados</w:t>
      </w:r>
    </w:p>
    <w:p w14:paraId="34DE60DE" w14:textId="77777777" w:rsidR="008504B9" w:rsidRPr="008504B9" w:rsidRDefault="008504B9" w:rsidP="008504B9">
      <w:pPr>
        <w:jc w:val="both"/>
      </w:pPr>
      <w:r w:rsidRPr="008504B9">
        <w:t>La evidencia científica indica que la fatiga derivada del trabajo por turnos disminuye la capacidad de concentración, enlentece el tiempo de respuesta y aumenta la probabilidad de cometer errores, especialmente durante los turnos nocturnos y las jornadas prolongadas.</w:t>
      </w:r>
    </w:p>
    <w:p w14:paraId="5236F4BF" w14:textId="77777777" w:rsidR="008504B9" w:rsidRPr="008504B9" w:rsidRDefault="008504B9" w:rsidP="008504B9">
      <w:pPr>
        <w:jc w:val="both"/>
      </w:pPr>
      <w:r w:rsidRPr="008504B9">
        <w:lastRenderedPageBreak/>
        <w:t>En el personal sanitario, estas alteraciones pueden afectar a la administración de tratamientos, la vigilancia clínica y la toma de decisiones. En el personal no sanitario, la fatiga incrementa el riesgo de accidentes durante la manipulación de equipos, la conducción de vehículos, las tareas de mantenimiento o las actividades administrativas que requieren atención sostenida.</w:t>
      </w:r>
    </w:p>
    <w:p w14:paraId="215823E6" w14:textId="77777777" w:rsidR="008504B9" w:rsidRPr="008504B9" w:rsidRDefault="008504B9" w:rsidP="008504B9">
      <w:pPr>
        <w:jc w:val="both"/>
      </w:pPr>
      <w:r w:rsidRPr="008504B9">
        <w:t>Los estudios muestran que la adecuada planificación de los turnos constituye una de las medidas preventivas más eficaces. La rotación progresiva de horarios, los periodos suficientes de descanso entre jornadas y la limitación de jornadas excesivamente prolongadas favorecen una mejor adaptación fisiológica.</w:t>
      </w:r>
    </w:p>
    <w:p w14:paraId="4D65E03B" w14:textId="77777777" w:rsidR="008504B9" w:rsidRPr="008504B9" w:rsidRDefault="008504B9" w:rsidP="008504B9">
      <w:pPr>
        <w:jc w:val="both"/>
      </w:pPr>
      <w:r w:rsidRPr="008504B9">
        <w:t>Asimismo, mantener una correcta higiene del sueño, realizar una alimentación equilibrada, mantenerse adecuadamente hidratado y practicar actividad física de forma regular contribuyen a reducir el impacto de la turnicidad sobre la salud.</w:t>
      </w:r>
    </w:p>
    <w:p w14:paraId="585821AE" w14:textId="77777777" w:rsidR="008504B9" w:rsidRPr="008504B9" w:rsidRDefault="008504B9" w:rsidP="008504B9">
      <w:pPr>
        <w:jc w:val="both"/>
      </w:pPr>
      <w:r w:rsidRPr="008504B9">
        <w:t>La revisión también destaca la importancia de que las organizaciones desarrollen programas específicos de gestión de la fatiga, promoviendo la formación de los trabajadores, la vigilancia de la salud y la evaluación periódica de los riesgos asociados al trabajo a turnos.</w:t>
      </w:r>
    </w:p>
    <w:p w14:paraId="4810FFC7" w14:textId="77777777" w:rsidR="008504B9" w:rsidRPr="008504B9" w:rsidRDefault="008504B9" w:rsidP="008504B9">
      <w:pPr>
        <w:jc w:val="both"/>
        <w:rPr>
          <w:b/>
        </w:rPr>
      </w:pPr>
      <w:r w:rsidRPr="008504B9">
        <w:rPr>
          <w:b/>
        </w:rPr>
        <w:t>Conclusiones</w:t>
      </w:r>
    </w:p>
    <w:p w14:paraId="4F3160E4" w14:textId="77777777" w:rsidR="008504B9" w:rsidRPr="008504B9" w:rsidRDefault="008504B9" w:rsidP="008504B9">
      <w:pPr>
        <w:jc w:val="both"/>
      </w:pPr>
      <w:r w:rsidRPr="008504B9">
        <w:t>La fatiga asociada al trabajo por turnos representa un importante factor de riesgo para el personal sanitario y no sanitario, ya que puede afectar tanto a la salud de los profesionales como a la seguridad de los servicios prestados.</w:t>
      </w:r>
    </w:p>
    <w:p w14:paraId="345EDE60" w14:textId="77777777" w:rsidR="008504B9" w:rsidRPr="008504B9" w:rsidRDefault="008504B9" w:rsidP="008504B9">
      <w:pPr>
        <w:jc w:val="both"/>
      </w:pPr>
      <w:r w:rsidRPr="008504B9">
        <w:t>La adopción de medidas organizativas orientadas a una planificación adecuada de los horarios, junto con la promoción de hábitos saludables y la formación en gestión de la fatiga, constituye una estrategia eficaz para minimizar los efectos negativos de la turnicidad.</w:t>
      </w:r>
    </w:p>
    <w:p w14:paraId="3685D0A8" w14:textId="77777777" w:rsidR="008504B9" w:rsidRPr="008504B9" w:rsidRDefault="008504B9" w:rsidP="008504B9">
      <w:pPr>
        <w:jc w:val="both"/>
      </w:pPr>
      <w:r w:rsidRPr="008504B9">
        <w:t>Fomentar una cultura preventiva basada en el cuidado de la salud de los trabajadores favorece una mayor calidad asistencial, mejora el rendimiento profesional y contribuye a crear entornos laborales más seguros y saludables.</w:t>
      </w:r>
    </w:p>
    <w:p w14:paraId="46A29752" w14:textId="77777777" w:rsidR="008504B9" w:rsidRPr="008504B9" w:rsidRDefault="008504B9" w:rsidP="008504B9">
      <w:pPr>
        <w:jc w:val="both"/>
        <w:rPr>
          <w:b/>
        </w:rPr>
      </w:pPr>
      <w:r w:rsidRPr="008504B9">
        <w:rPr>
          <w:b/>
        </w:rPr>
        <w:t>Bibliografía</w:t>
      </w:r>
    </w:p>
    <w:p w14:paraId="6693F9E8" w14:textId="77777777" w:rsidR="008504B9" w:rsidRPr="008504B9" w:rsidRDefault="008504B9" w:rsidP="008504B9">
      <w:pPr>
        <w:numPr>
          <w:ilvl w:val="0"/>
          <w:numId w:val="59"/>
        </w:numPr>
        <w:jc w:val="both"/>
      </w:pPr>
      <w:r w:rsidRPr="008504B9">
        <w:rPr>
          <w:lang w:val="en-GB"/>
        </w:rPr>
        <w:t xml:space="preserve">Organización Internacional del </w:t>
      </w:r>
      <w:proofErr w:type="spellStart"/>
      <w:r w:rsidRPr="008504B9">
        <w:rPr>
          <w:lang w:val="en-GB"/>
        </w:rPr>
        <w:t>Trabajo</w:t>
      </w:r>
      <w:proofErr w:type="spellEnd"/>
      <w:r w:rsidRPr="008504B9">
        <w:rPr>
          <w:lang w:val="en-GB"/>
        </w:rPr>
        <w:t>. (2022). *Working Time and Work Organization</w:t>
      </w:r>
      <w:proofErr w:type="gramStart"/>
      <w:r w:rsidRPr="008504B9">
        <w:rPr>
          <w:lang w:val="en-GB"/>
        </w:rPr>
        <w:t>*.*</w:t>
      </w:r>
      <w:proofErr w:type="gramEnd"/>
      <w:r w:rsidRPr="008504B9">
        <w:rPr>
          <w:lang w:val="en-GB"/>
        </w:rPr>
        <w:t xml:space="preserve"> </w:t>
      </w:r>
      <w:r w:rsidRPr="008504B9">
        <w:t>Instituto Nacional de Seguridad y Salud en el Trabajo. (2024). *Trabajo nocturno y trabajo a turnos*.</w:t>
      </w:r>
    </w:p>
    <w:p w14:paraId="55E7204E" w14:textId="77777777" w:rsidR="008504B9" w:rsidRPr="008504B9" w:rsidRDefault="008504B9" w:rsidP="008504B9">
      <w:pPr>
        <w:numPr>
          <w:ilvl w:val="0"/>
          <w:numId w:val="59"/>
        </w:numPr>
        <w:jc w:val="both"/>
        <w:rPr>
          <w:lang w:val="en-GB"/>
        </w:rPr>
      </w:pPr>
      <w:r w:rsidRPr="008504B9">
        <w:t xml:space="preserve">Agencia Europea para la Seguridad y la Salud en el Trabajo. </w:t>
      </w:r>
      <w:r w:rsidRPr="008504B9">
        <w:rPr>
          <w:lang w:val="en-GB"/>
        </w:rPr>
        <w:t>(2023). *Healthy Workplaces Campaign: Managing Psychosocial Risks*.</w:t>
      </w:r>
    </w:p>
    <w:p w14:paraId="1ECF472D" w14:textId="77777777" w:rsidR="008504B9" w:rsidRPr="008504B9" w:rsidRDefault="008504B9" w:rsidP="008504B9">
      <w:pPr>
        <w:numPr>
          <w:ilvl w:val="0"/>
          <w:numId w:val="59"/>
        </w:numPr>
        <w:jc w:val="both"/>
        <w:rPr>
          <w:lang w:val="en-GB"/>
        </w:rPr>
      </w:pPr>
      <w:proofErr w:type="spellStart"/>
      <w:r w:rsidRPr="008504B9">
        <w:rPr>
          <w:lang w:val="en-GB"/>
        </w:rPr>
        <w:t>Kecklund</w:t>
      </w:r>
      <w:proofErr w:type="spellEnd"/>
      <w:r w:rsidRPr="008504B9">
        <w:rPr>
          <w:lang w:val="en-GB"/>
        </w:rPr>
        <w:t xml:space="preserve">, G., &amp; Axelsson, J. (2016). Health consequences of shift work and insufficient sleep. </w:t>
      </w:r>
    </w:p>
    <w:p w14:paraId="10EA3FF9" w14:textId="77777777" w:rsidR="008504B9" w:rsidRPr="008504B9" w:rsidRDefault="008504B9" w:rsidP="008504B9">
      <w:pPr>
        <w:jc w:val="both"/>
      </w:pPr>
      <w:r w:rsidRPr="008504B9">
        <w:lastRenderedPageBreak/>
        <w:t>*BMJ*, 355, i5210.</w:t>
      </w:r>
    </w:p>
    <w:p w14:paraId="05A4F6E5" w14:textId="77777777" w:rsidR="008504B9" w:rsidRPr="008504B9" w:rsidRDefault="008504B9" w:rsidP="008504B9">
      <w:pPr>
        <w:numPr>
          <w:ilvl w:val="0"/>
          <w:numId w:val="59"/>
        </w:numPr>
        <w:jc w:val="both"/>
      </w:pPr>
      <w:r w:rsidRPr="008504B9">
        <w:rPr>
          <w:lang w:val="en-GB"/>
        </w:rPr>
        <w:t xml:space="preserve">Folkard, S., &amp; Tucker, P. (2003). Shift work, safety and productivity. </w:t>
      </w:r>
      <w:r w:rsidRPr="008504B9">
        <w:t>*</w:t>
      </w:r>
      <w:proofErr w:type="spellStart"/>
      <w:r w:rsidRPr="008504B9">
        <w:t>Occupational</w:t>
      </w:r>
      <w:proofErr w:type="spellEnd"/>
      <w:r w:rsidRPr="008504B9">
        <w:t xml:space="preserve"> Medicine*, 53(2), 95–101.</w:t>
      </w:r>
    </w:p>
    <w:p w14:paraId="2F0EED3C" w14:textId="77777777" w:rsidR="00B374B1" w:rsidRDefault="00B374B1" w:rsidP="00043CFC">
      <w:pPr>
        <w:jc w:val="both"/>
      </w:pPr>
    </w:p>
    <w:p w14:paraId="646EB8BD" w14:textId="77777777" w:rsidR="008504B9" w:rsidRDefault="008504B9" w:rsidP="00043CFC">
      <w:pPr>
        <w:jc w:val="both"/>
      </w:pPr>
    </w:p>
    <w:p w14:paraId="79DBAC35" w14:textId="77777777" w:rsidR="008504B9" w:rsidRDefault="008504B9" w:rsidP="00043CFC">
      <w:pPr>
        <w:jc w:val="both"/>
      </w:pPr>
    </w:p>
    <w:p w14:paraId="3BC820E8" w14:textId="77777777" w:rsidR="008504B9" w:rsidRDefault="008504B9" w:rsidP="00043CFC">
      <w:pPr>
        <w:jc w:val="both"/>
      </w:pPr>
    </w:p>
    <w:p w14:paraId="1A769540" w14:textId="77777777" w:rsidR="008504B9" w:rsidRDefault="008504B9" w:rsidP="00043CFC">
      <w:pPr>
        <w:jc w:val="both"/>
      </w:pPr>
    </w:p>
    <w:p w14:paraId="4067C416" w14:textId="77777777" w:rsidR="008504B9" w:rsidRDefault="008504B9" w:rsidP="00043CFC">
      <w:pPr>
        <w:jc w:val="both"/>
      </w:pPr>
    </w:p>
    <w:p w14:paraId="3E14194B" w14:textId="77777777" w:rsidR="008504B9" w:rsidRDefault="008504B9" w:rsidP="00043CFC">
      <w:pPr>
        <w:jc w:val="both"/>
      </w:pPr>
    </w:p>
    <w:p w14:paraId="417CD968" w14:textId="77777777" w:rsidR="008504B9" w:rsidRDefault="008504B9" w:rsidP="00043CFC">
      <w:pPr>
        <w:jc w:val="both"/>
      </w:pPr>
    </w:p>
    <w:p w14:paraId="29E0E870" w14:textId="77777777" w:rsidR="008504B9" w:rsidRDefault="008504B9" w:rsidP="00043CFC">
      <w:pPr>
        <w:jc w:val="both"/>
      </w:pPr>
    </w:p>
    <w:p w14:paraId="5CAA32ED" w14:textId="77777777" w:rsidR="008504B9" w:rsidRDefault="008504B9" w:rsidP="00043CFC">
      <w:pPr>
        <w:jc w:val="both"/>
      </w:pPr>
    </w:p>
    <w:p w14:paraId="607D8F76" w14:textId="77777777" w:rsidR="008504B9" w:rsidRDefault="008504B9" w:rsidP="00043CFC">
      <w:pPr>
        <w:jc w:val="both"/>
      </w:pPr>
    </w:p>
    <w:p w14:paraId="25860A2F" w14:textId="77777777" w:rsidR="008504B9" w:rsidRDefault="008504B9" w:rsidP="00043CFC">
      <w:pPr>
        <w:jc w:val="both"/>
      </w:pPr>
    </w:p>
    <w:p w14:paraId="4412F103" w14:textId="77777777" w:rsidR="008504B9" w:rsidRDefault="008504B9" w:rsidP="00043CFC">
      <w:pPr>
        <w:jc w:val="both"/>
      </w:pPr>
    </w:p>
    <w:p w14:paraId="25335B7B" w14:textId="77777777" w:rsidR="008504B9" w:rsidRDefault="008504B9" w:rsidP="00043CFC">
      <w:pPr>
        <w:jc w:val="both"/>
      </w:pPr>
    </w:p>
    <w:p w14:paraId="1C485D08" w14:textId="77777777" w:rsidR="008504B9" w:rsidRDefault="008504B9" w:rsidP="00043CFC">
      <w:pPr>
        <w:jc w:val="both"/>
      </w:pPr>
    </w:p>
    <w:p w14:paraId="03A395D4" w14:textId="77777777" w:rsidR="008504B9" w:rsidRDefault="008504B9" w:rsidP="00043CFC">
      <w:pPr>
        <w:jc w:val="both"/>
      </w:pPr>
    </w:p>
    <w:p w14:paraId="61207614" w14:textId="77777777" w:rsidR="008504B9" w:rsidRDefault="008504B9" w:rsidP="00043CFC">
      <w:pPr>
        <w:jc w:val="both"/>
      </w:pPr>
    </w:p>
    <w:p w14:paraId="11DC27DB" w14:textId="77777777" w:rsidR="008504B9" w:rsidRDefault="008504B9" w:rsidP="00043CFC">
      <w:pPr>
        <w:jc w:val="both"/>
      </w:pPr>
    </w:p>
    <w:p w14:paraId="676AB35E" w14:textId="77777777" w:rsidR="008504B9" w:rsidRDefault="008504B9" w:rsidP="00043CFC">
      <w:pPr>
        <w:jc w:val="both"/>
      </w:pPr>
    </w:p>
    <w:p w14:paraId="7A0F91D2" w14:textId="77777777" w:rsidR="008504B9" w:rsidRDefault="008504B9" w:rsidP="00043CFC">
      <w:pPr>
        <w:jc w:val="both"/>
      </w:pPr>
    </w:p>
    <w:p w14:paraId="14BC82C9" w14:textId="77777777" w:rsidR="008504B9" w:rsidRDefault="008504B9" w:rsidP="00043CFC">
      <w:pPr>
        <w:jc w:val="both"/>
      </w:pPr>
    </w:p>
    <w:p w14:paraId="48998181" w14:textId="77777777" w:rsidR="008504B9" w:rsidRDefault="008504B9" w:rsidP="00043CFC">
      <w:pPr>
        <w:jc w:val="both"/>
      </w:pPr>
    </w:p>
    <w:p w14:paraId="5124E1EA" w14:textId="77777777" w:rsidR="008504B9" w:rsidRDefault="008504B9" w:rsidP="00043CFC">
      <w:pPr>
        <w:jc w:val="both"/>
      </w:pPr>
    </w:p>
    <w:p w14:paraId="68A7D2E3" w14:textId="77777777" w:rsidR="008504B9" w:rsidRDefault="008504B9" w:rsidP="00043CFC">
      <w:pPr>
        <w:jc w:val="both"/>
      </w:pPr>
    </w:p>
    <w:p w14:paraId="34C371C1" w14:textId="77777777" w:rsidR="008504B9" w:rsidRDefault="008504B9" w:rsidP="00043CFC">
      <w:pPr>
        <w:jc w:val="both"/>
      </w:pPr>
    </w:p>
    <w:p w14:paraId="53CEF9CA" w14:textId="77777777" w:rsidR="00146685" w:rsidRPr="00146685" w:rsidRDefault="00146685" w:rsidP="00146685">
      <w:pPr>
        <w:jc w:val="both"/>
      </w:pPr>
      <w:r w:rsidRPr="00146685">
        <w:rPr>
          <w:b/>
        </w:rPr>
        <w:lastRenderedPageBreak/>
        <w:t>CUMPLIMIENTO DE LA LEY DE PROTECCIÓN DE DATOS POR EL PERSONAL NO SANITARIO EN CENTROS HOSPITALARIOS</w:t>
      </w:r>
    </w:p>
    <w:p w14:paraId="46519259" w14:textId="77777777" w:rsidR="00146685" w:rsidRPr="00146685" w:rsidRDefault="00146685" w:rsidP="00146685">
      <w:pPr>
        <w:jc w:val="both"/>
        <w:rPr>
          <w:b/>
        </w:rPr>
      </w:pPr>
      <w:r w:rsidRPr="00146685">
        <w:rPr>
          <w:b/>
        </w:rPr>
        <w:t>Introducción</w:t>
      </w:r>
    </w:p>
    <w:p w14:paraId="4268439D" w14:textId="77777777" w:rsidR="00146685" w:rsidRPr="00146685" w:rsidRDefault="00146685" w:rsidP="00146685">
      <w:pPr>
        <w:jc w:val="both"/>
      </w:pPr>
      <w:r w:rsidRPr="00146685">
        <w:t xml:space="preserve">La protección de los datos personales constituye un elemento esencial para garantizar la confidencialidad, la privacidad y los derechos de los pacientes en el ámbito sanitario. La información contenida en las historias clínicas y en los sistemas de gestión hospitalaria incluye datos especialmente sensibles, cuyo tratamiento debe realizarse conforme a la normativa vigente. </w:t>
      </w:r>
    </w:p>
    <w:p w14:paraId="34F6AB5D" w14:textId="77777777" w:rsidR="00146685" w:rsidRPr="00146685" w:rsidRDefault="00146685" w:rsidP="00146685">
      <w:pPr>
        <w:jc w:val="both"/>
      </w:pPr>
      <w:r w:rsidRPr="00146685">
        <w:t xml:space="preserve">En España, el tratamiento de estos datos se encuentra regulado por el Reglamento (UE) </w:t>
      </w:r>
    </w:p>
    <w:p w14:paraId="7618D3A4" w14:textId="77777777" w:rsidR="00146685" w:rsidRPr="00146685" w:rsidRDefault="00146685" w:rsidP="00146685">
      <w:pPr>
        <w:jc w:val="both"/>
      </w:pPr>
      <w:r w:rsidRPr="00146685">
        <w:t>2016/679, conocido como Reglamento General de Protección de Datos (RGPD), y por la Ley Orgánica 3/2018, de Protección de Datos Personales y garantía de los derechos digitales.</w:t>
      </w:r>
    </w:p>
    <w:p w14:paraId="317C3802" w14:textId="77777777" w:rsidR="00146685" w:rsidRPr="00146685" w:rsidRDefault="00146685" w:rsidP="00146685">
      <w:pPr>
        <w:jc w:val="both"/>
      </w:pPr>
      <w:r w:rsidRPr="00146685">
        <w:t>El personal no sanitario desarrolla funciones que implican el acceso o tratamiento de información personal en áreas como admisión, administración, atención al usuario, informática, documentación clínica y gestión de citas. Un manejo inadecuado de estos datos puede comprometer la privacidad de los pacientes, generar incidentes de seguridad y ocasionar consecuencias legales para los profesionales y las instituciones sanitarias.</w:t>
      </w:r>
    </w:p>
    <w:p w14:paraId="057D8144" w14:textId="77777777" w:rsidR="00146685" w:rsidRPr="00146685" w:rsidRDefault="00146685" w:rsidP="00146685">
      <w:pPr>
        <w:jc w:val="both"/>
      </w:pPr>
      <w:r w:rsidRPr="00146685">
        <w:t>La formación continuada, el conocimiento de los protocolos internos y la aplicación de buenas prácticas constituyen herramientas fundamentales para garantizar el cumplimiento de la normativa. El objetivo de este estudio fue evaluar el grado de cumplimiento de la legislación sobre protección de datos por parte del personal no sanitario de un hospital e identificar las principales áreas de mejora.</w:t>
      </w:r>
    </w:p>
    <w:p w14:paraId="3AD4CDB1" w14:textId="77777777" w:rsidR="00146685" w:rsidRPr="00146685" w:rsidRDefault="00146685" w:rsidP="00146685">
      <w:pPr>
        <w:jc w:val="both"/>
        <w:rPr>
          <w:b/>
        </w:rPr>
      </w:pPr>
      <w:r w:rsidRPr="00146685">
        <w:rPr>
          <w:b/>
        </w:rPr>
        <w:t>Material y métodos</w:t>
      </w:r>
    </w:p>
    <w:p w14:paraId="10E3DDCA" w14:textId="77777777" w:rsidR="00146685" w:rsidRPr="00146685" w:rsidRDefault="00146685" w:rsidP="00146685">
      <w:pPr>
        <w:jc w:val="both"/>
      </w:pPr>
      <w:r w:rsidRPr="00146685">
        <w:t>Se realizó un estudio observacional, descriptivo y transversal en un hospital general de segundo nivel. La población de estudio estuvo formada por trabajadores no sanitarios pertenecientes a los servicios de admisión, administración, atención al usuario, documentación clínica, informática y gestión administrativa.</w:t>
      </w:r>
    </w:p>
    <w:p w14:paraId="10C043BC" w14:textId="77777777" w:rsidR="00146685" w:rsidRPr="00146685" w:rsidRDefault="00146685" w:rsidP="00146685">
      <w:pPr>
        <w:jc w:val="both"/>
      </w:pPr>
      <w:r w:rsidRPr="00146685">
        <w:t>La recogida de datos se efectuó mediante un cuestionario anónimo y voluntario que incluyó variables sociodemográficas, categoría profesional, antigüedad y formación recibida en materia de protección de datos. Asimismo, se evaluaron el conocimiento de la normativa vigente, el cumplimiento de las medidas de confidencialidad, el uso seguro de los sistemas informáticos, la gestión de documentos con información personal y el conocimiento de los protocolos institucionales para la notificación de incidentes relacionados con la seguridad de la información.</w:t>
      </w:r>
    </w:p>
    <w:p w14:paraId="3AF3435C" w14:textId="77777777" w:rsidR="00146685" w:rsidRPr="00146685" w:rsidRDefault="00146685" w:rsidP="00146685">
      <w:pPr>
        <w:jc w:val="both"/>
      </w:pPr>
      <w:r w:rsidRPr="00146685">
        <w:lastRenderedPageBreak/>
        <w:t>Los datos fueron analizados mediante estadística descriptiva. Las variables cuantitativas se expresaron como media y desviación estándar, mientras que las cualitativas se presentaron mediante frecuencias y porcentajes.</w:t>
      </w:r>
    </w:p>
    <w:p w14:paraId="216C05E1" w14:textId="77777777" w:rsidR="00146685" w:rsidRPr="00146685" w:rsidRDefault="00146685" w:rsidP="00146685">
      <w:pPr>
        <w:jc w:val="both"/>
        <w:rPr>
          <w:b/>
        </w:rPr>
      </w:pPr>
      <w:r w:rsidRPr="00146685">
        <w:rPr>
          <w:b/>
        </w:rPr>
        <w:t>Resultados</w:t>
      </w:r>
    </w:p>
    <w:p w14:paraId="482A39F7" w14:textId="77777777" w:rsidR="00146685" w:rsidRPr="00146685" w:rsidRDefault="00146685" w:rsidP="00146685">
      <w:pPr>
        <w:jc w:val="both"/>
      </w:pPr>
      <w:r w:rsidRPr="00146685">
        <w:t>Participaron 122 trabajadores, con una edad media de 46,1 ± 9,6 años y una antigüedad media de 14,2 años. El 63% fueron mujeres y el 37% hombres.</w:t>
      </w:r>
    </w:p>
    <w:p w14:paraId="16FE9F89" w14:textId="77777777" w:rsidR="00146685" w:rsidRPr="00146685" w:rsidRDefault="00146685" w:rsidP="00146685">
      <w:pPr>
        <w:jc w:val="both"/>
      </w:pPr>
      <w:r w:rsidRPr="00146685">
        <w:t>El 89% de los participantes manifestó haber recibido formación en protección de datos durante los últimos tres años. El 86% afirmó conocer la importancia de mantener la confidencialidad de la información clínica y el 82% declaró aplicar habitualmente medidas de seguridad, como el bloqueo de la sesión informática al abandonar el puesto de trabajo y la correcta custodia de documentos con datos personales.</w:t>
      </w:r>
    </w:p>
    <w:p w14:paraId="413B0656" w14:textId="77777777" w:rsidR="00146685" w:rsidRPr="00146685" w:rsidRDefault="00146685" w:rsidP="00146685">
      <w:pPr>
        <w:jc w:val="both"/>
      </w:pPr>
      <w:r w:rsidRPr="00146685">
        <w:t>No obstante, el 28% reconoció desconocer el procedimiento específico para comunicar un incidente relacionado con la seguridad de la información y el 22% manifestó tener dudas sobre el acceso autorizado a determinadas historias clínicas. Asimismo, el 91% consideró necesaria la actualización periódica de la formación para adaptarse a los cambios normativos y tecnológicos.</w:t>
      </w:r>
    </w:p>
    <w:p w14:paraId="106EFA98" w14:textId="77777777" w:rsidR="00146685" w:rsidRPr="00146685" w:rsidRDefault="00146685" w:rsidP="00146685">
      <w:pPr>
        <w:jc w:val="both"/>
      </w:pPr>
      <w:r w:rsidRPr="00146685">
        <w:t>Los trabajadores que habían recibido formación reciente mostraron un mayor nivel de conocimiento de la normativa y un mejor cumplimiento de las medidas de protección de datos respecto a quienes no habían participado en actividades formativas.</w:t>
      </w:r>
    </w:p>
    <w:p w14:paraId="0C905B89" w14:textId="77777777" w:rsidR="00146685" w:rsidRPr="00146685" w:rsidRDefault="00146685" w:rsidP="00146685">
      <w:pPr>
        <w:jc w:val="both"/>
        <w:rPr>
          <w:b/>
        </w:rPr>
      </w:pPr>
      <w:r w:rsidRPr="00146685">
        <w:rPr>
          <w:b/>
        </w:rPr>
        <w:t>Conclusiones</w:t>
      </w:r>
    </w:p>
    <w:p w14:paraId="191440BB" w14:textId="77777777" w:rsidR="00146685" w:rsidRPr="00146685" w:rsidRDefault="00146685" w:rsidP="00146685">
      <w:pPr>
        <w:jc w:val="both"/>
      </w:pPr>
      <w:r w:rsidRPr="00146685">
        <w:t>El personal no sanitario hospitalario presentó un adecuado nivel de cumplimiento de la normativa sobre protección de datos, especialmente en lo relacionado con la confidencialidad y el uso seguro de la información clínica. Sin embargo, persisten áreas de mejora relacionadas con el conocimiento de los procedimientos de notificación de incidentes y la aplicación uniforme de los protocolos institucionales.</w:t>
      </w:r>
    </w:p>
    <w:p w14:paraId="390414FC" w14:textId="77777777" w:rsidR="00146685" w:rsidRPr="00146685" w:rsidRDefault="00146685" w:rsidP="00146685">
      <w:pPr>
        <w:jc w:val="both"/>
      </w:pPr>
      <w:r w:rsidRPr="00146685">
        <w:t>La formación continuada, la actualización periódica de los procedimientos internos y la promoción de una cultura organizacional orientada a la seguridad de la información son fundamentales para reforzar el cumplimiento de la legislación vigente. Estas medidas contribuyen a proteger los derechos de los pacientes, minimizar los riesgos derivados del tratamiento de datos personales y fortalecer la calidad y la confianza en los servicios hospitalarios.</w:t>
      </w:r>
    </w:p>
    <w:p w14:paraId="6CA5D339" w14:textId="77777777" w:rsidR="00146685" w:rsidRPr="00146685" w:rsidRDefault="00146685" w:rsidP="00146685">
      <w:pPr>
        <w:jc w:val="both"/>
        <w:rPr>
          <w:b/>
        </w:rPr>
      </w:pPr>
      <w:r w:rsidRPr="00146685">
        <w:rPr>
          <w:b/>
        </w:rPr>
        <w:t>Bibliografía</w:t>
      </w:r>
    </w:p>
    <w:p w14:paraId="30A51D15" w14:textId="77777777" w:rsidR="00146685" w:rsidRPr="00146685" w:rsidRDefault="00146685" w:rsidP="00146685">
      <w:pPr>
        <w:numPr>
          <w:ilvl w:val="0"/>
          <w:numId w:val="60"/>
        </w:numPr>
        <w:jc w:val="both"/>
      </w:pPr>
      <w:r w:rsidRPr="00146685">
        <w:lastRenderedPageBreak/>
        <w:t>Reglamento General de Protección de Datos (RGPD). Reglamento (UE) 2016/679 del Parlamento Europeo y del Consejo, de 27 de abril de 2016.</w:t>
      </w:r>
    </w:p>
    <w:p w14:paraId="49596D58" w14:textId="77777777" w:rsidR="00146685" w:rsidRPr="00146685" w:rsidRDefault="00146685" w:rsidP="00146685">
      <w:pPr>
        <w:numPr>
          <w:ilvl w:val="0"/>
          <w:numId w:val="60"/>
        </w:numPr>
        <w:jc w:val="both"/>
      </w:pPr>
      <w:r w:rsidRPr="00146685">
        <w:t xml:space="preserve">Ley Orgánica 3/2018. Boletín Oficial del Estado. </w:t>
      </w:r>
      <w:proofErr w:type="gramStart"/>
      <w:r w:rsidRPr="00146685">
        <w:t>2018;294:119788</w:t>
      </w:r>
      <w:proofErr w:type="gramEnd"/>
      <w:r w:rsidRPr="00146685">
        <w:t>-119857.</w:t>
      </w:r>
    </w:p>
    <w:p w14:paraId="06C4A416" w14:textId="77777777" w:rsidR="00146685" w:rsidRPr="00146685" w:rsidRDefault="00146685" w:rsidP="00146685">
      <w:pPr>
        <w:numPr>
          <w:ilvl w:val="0"/>
          <w:numId w:val="60"/>
        </w:numPr>
        <w:jc w:val="both"/>
      </w:pPr>
      <w:r w:rsidRPr="00146685">
        <w:t xml:space="preserve">Agencia Española de Protección de Datos. </w:t>
      </w:r>
      <w:r w:rsidRPr="00146685">
        <w:rPr>
          <w:i/>
        </w:rPr>
        <w:t>Guía para pacientes y usuarios de la Sanidad sobre protección de datos personales</w:t>
      </w:r>
      <w:r w:rsidRPr="00146685">
        <w:t>. Madrid: AEPD.</w:t>
      </w:r>
    </w:p>
    <w:p w14:paraId="40D78EAC" w14:textId="77777777" w:rsidR="00146685" w:rsidRPr="00146685" w:rsidRDefault="00146685" w:rsidP="00146685">
      <w:pPr>
        <w:numPr>
          <w:ilvl w:val="0"/>
          <w:numId w:val="60"/>
        </w:numPr>
        <w:jc w:val="both"/>
      </w:pPr>
      <w:r w:rsidRPr="00146685">
        <w:t xml:space="preserve">Agencia Española de Protección de Datos. </w:t>
      </w:r>
      <w:r w:rsidRPr="00146685">
        <w:rPr>
          <w:i/>
        </w:rPr>
        <w:t>Guía para responsables y encargados del tratamiento de datos personales</w:t>
      </w:r>
      <w:r w:rsidRPr="00146685">
        <w:t>. Madrid: AEPD.</w:t>
      </w:r>
    </w:p>
    <w:p w14:paraId="28893C8B" w14:textId="77777777" w:rsidR="00146685" w:rsidRPr="00146685" w:rsidRDefault="00146685" w:rsidP="00146685">
      <w:pPr>
        <w:numPr>
          <w:ilvl w:val="0"/>
          <w:numId w:val="60"/>
        </w:numPr>
        <w:jc w:val="both"/>
      </w:pPr>
      <w:r w:rsidRPr="00146685">
        <w:rPr>
          <w:lang w:val="en-GB"/>
        </w:rPr>
        <w:t xml:space="preserve">European Data Protection Board. </w:t>
      </w:r>
      <w:r w:rsidRPr="00146685">
        <w:rPr>
          <w:i/>
          <w:lang w:val="en-GB"/>
        </w:rPr>
        <w:t>Guidelines on the processing of personal data concerning health</w:t>
      </w:r>
      <w:r w:rsidRPr="00146685">
        <w:rPr>
          <w:lang w:val="en-GB"/>
        </w:rPr>
        <w:t xml:space="preserve">. </w:t>
      </w:r>
      <w:r w:rsidRPr="00146685">
        <w:t>Bruselas: EDPB.</w:t>
      </w:r>
    </w:p>
    <w:p w14:paraId="2F3B3D54" w14:textId="77777777" w:rsidR="008504B9" w:rsidRDefault="008504B9" w:rsidP="00043CFC">
      <w:pPr>
        <w:jc w:val="both"/>
      </w:pPr>
    </w:p>
    <w:p w14:paraId="608FC5BF" w14:textId="77777777" w:rsidR="00146685" w:rsidRDefault="00146685" w:rsidP="00043CFC">
      <w:pPr>
        <w:jc w:val="both"/>
      </w:pPr>
    </w:p>
    <w:p w14:paraId="13800CF3" w14:textId="77777777" w:rsidR="00146685" w:rsidRDefault="00146685" w:rsidP="00043CFC">
      <w:pPr>
        <w:jc w:val="both"/>
      </w:pPr>
    </w:p>
    <w:p w14:paraId="13FC640C" w14:textId="77777777" w:rsidR="00146685" w:rsidRDefault="00146685" w:rsidP="00043CFC">
      <w:pPr>
        <w:jc w:val="both"/>
      </w:pPr>
    </w:p>
    <w:p w14:paraId="37CE1B7C" w14:textId="77777777" w:rsidR="00146685" w:rsidRDefault="00146685" w:rsidP="00043CFC">
      <w:pPr>
        <w:jc w:val="both"/>
      </w:pPr>
    </w:p>
    <w:p w14:paraId="40A73404" w14:textId="77777777" w:rsidR="00146685" w:rsidRDefault="00146685" w:rsidP="00043CFC">
      <w:pPr>
        <w:jc w:val="both"/>
      </w:pPr>
    </w:p>
    <w:p w14:paraId="6D48BA78" w14:textId="77777777" w:rsidR="00146685" w:rsidRDefault="00146685" w:rsidP="00043CFC">
      <w:pPr>
        <w:jc w:val="both"/>
      </w:pPr>
    </w:p>
    <w:p w14:paraId="52996E2F" w14:textId="77777777" w:rsidR="00146685" w:rsidRDefault="00146685" w:rsidP="00043CFC">
      <w:pPr>
        <w:jc w:val="both"/>
      </w:pPr>
    </w:p>
    <w:p w14:paraId="1B2DCF4F" w14:textId="77777777" w:rsidR="00146685" w:rsidRDefault="00146685" w:rsidP="00043CFC">
      <w:pPr>
        <w:jc w:val="both"/>
      </w:pPr>
    </w:p>
    <w:p w14:paraId="30F0DCC5" w14:textId="77777777" w:rsidR="00146685" w:rsidRDefault="00146685" w:rsidP="00043CFC">
      <w:pPr>
        <w:jc w:val="both"/>
      </w:pPr>
    </w:p>
    <w:p w14:paraId="27BBFF9A" w14:textId="77777777" w:rsidR="00146685" w:rsidRDefault="00146685" w:rsidP="00043CFC">
      <w:pPr>
        <w:jc w:val="both"/>
      </w:pPr>
    </w:p>
    <w:p w14:paraId="07368F62" w14:textId="77777777" w:rsidR="00146685" w:rsidRDefault="00146685" w:rsidP="00043CFC">
      <w:pPr>
        <w:jc w:val="both"/>
      </w:pPr>
    </w:p>
    <w:p w14:paraId="25CADE33" w14:textId="77777777" w:rsidR="00146685" w:rsidRDefault="00146685" w:rsidP="00043CFC">
      <w:pPr>
        <w:jc w:val="both"/>
      </w:pPr>
    </w:p>
    <w:p w14:paraId="0E809211" w14:textId="77777777" w:rsidR="00146685" w:rsidRDefault="00146685" w:rsidP="00043CFC">
      <w:pPr>
        <w:jc w:val="both"/>
      </w:pPr>
    </w:p>
    <w:p w14:paraId="72783E4D" w14:textId="77777777" w:rsidR="00146685" w:rsidRDefault="00146685" w:rsidP="00043CFC">
      <w:pPr>
        <w:jc w:val="both"/>
      </w:pPr>
    </w:p>
    <w:p w14:paraId="7B1F1457" w14:textId="77777777" w:rsidR="00146685" w:rsidRDefault="00146685" w:rsidP="00043CFC">
      <w:pPr>
        <w:jc w:val="both"/>
      </w:pPr>
    </w:p>
    <w:p w14:paraId="57A68C9A" w14:textId="77777777" w:rsidR="00146685" w:rsidRDefault="00146685" w:rsidP="00043CFC">
      <w:pPr>
        <w:jc w:val="both"/>
      </w:pPr>
    </w:p>
    <w:p w14:paraId="080FEF7D" w14:textId="77777777" w:rsidR="00146685" w:rsidRDefault="00146685" w:rsidP="00043CFC">
      <w:pPr>
        <w:jc w:val="both"/>
      </w:pPr>
    </w:p>
    <w:p w14:paraId="07EC3E43" w14:textId="77777777" w:rsidR="00146685" w:rsidRDefault="00146685" w:rsidP="00043CFC">
      <w:pPr>
        <w:jc w:val="both"/>
      </w:pPr>
    </w:p>
    <w:p w14:paraId="380CEB99" w14:textId="77777777" w:rsidR="00146685" w:rsidRDefault="00146685" w:rsidP="00043CFC">
      <w:pPr>
        <w:jc w:val="both"/>
      </w:pPr>
    </w:p>
    <w:p w14:paraId="6866AAFB" w14:textId="4D6D42DA" w:rsidR="00B52AD9" w:rsidRPr="00B52AD9" w:rsidRDefault="00B52AD9" w:rsidP="00B52AD9">
      <w:pPr>
        <w:jc w:val="both"/>
      </w:pPr>
      <w:r w:rsidRPr="00B52AD9">
        <w:rPr>
          <w:b/>
        </w:rPr>
        <w:lastRenderedPageBreak/>
        <w:t>EL PAPEL DEL PERSONAL NO SANITARIO EN LA DETECCIÓN PRECOZ DE CASOS DE VIOLENCIA DE GÉNERO EN EL ÁMBITO HOSPITALARIO</w:t>
      </w:r>
    </w:p>
    <w:p w14:paraId="45BA4383" w14:textId="77777777" w:rsidR="00B52AD9" w:rsidRPr="00B52AD9" w:rsidRDefault="00B52AD9" w:rsidP="00B52AD9">
      <w:pPr>
        <w:jc w:val="both"/>
        <w:rPr>
          <w:b/>
        </w:rPr>
      </w:pPr>
      <w:r w:rsidRPr="00B52AD9">
        <w:rPr>
          <w:b/>
        </w:rPr>
        <w:t>Introducción</w:t>
      </w:r>
    </w:p>
    <w:p w14:paraId="15BCDAC0" w14:textId="77777777" w:rsidR="00B52AD9" w:rsidRPr="00B52AD9" w:rsidRDefault="00B52AD9" w:rsidP="00B52AD9">
      <w:pPr>
        <w:jc w:val="both"/>
      </w:pPr>
      <w:r w:rsidRPr="00B52AD9">
        <w:t>La violencia de género constituye un importante problema de salud pública con repercusiones físicas, psicológicas, sociales y económicas para las víctimas. Los centros hospitalarios representan un entorno clave para la identificación precoz de situaciones de violencia, ya que muchas mujeres acceden a estos servicios por motivos relacionados o no con las agresiones sufridas. Tradicionalmente, la detección de estos casos se ha atribuido al personal sanitario; sin embargo, el personal no sanitario también desempeña un papel relevante al ser, en numerosas ocasiones, el primer punto de contacto con las pacientes.</w:t>
      </w:r>
    </w:p>
    <w:p w14:paraId="0920A948" w14:textId="77777777" w:rsidR="00B52AD9" w:rsidRPr="00B52AD9" w:rsidRDefault="00B52AD9" w:rsidP="00B52AD9">
      <w:pPr>
        <w:jc w:val="both"/>
      </w:pPr>
      <w:r w:rsidRPr="00B52AD9">
        <w:t>Profesionales de admisión, atención al usuario, seguridad, trabajo administrativo, celadores y personal de información mantienen una interacción directa con pacientes y familiares durante el proceso asistencial. Esta proximidad puede favorecer la identificación de indicadores de sospecha, como signos de miedo, ansiedad, conductas de control por parte del acompañante o dificultades para comunicarse con libertad. No obstante, la falta de formación específica y el desconocimiento de los protocolos de actuación pueden limitar su capacidad para colaborar en la detección precoz y la adecuada derivación de los casos.</w:t>
      </w:r>
    </w:p>
    <w:p w14:paraId="450AE51B" w14:textId="77777777" w:rsidR="00B52AD9" w:rsidRPr="00B52AD9" w:rsidRDefault="00B52AD9" w:rsidP="00B52AD9">
      <w:pPr>
        <w:jc w:val="both"/>
      </w:pPr>
      <w:r w:rsidRPr="00B52AD9">
        <w:t>El objetivo de este estudio fue evaluar el conocimiento y la percepción del personal no sanitario sobre su papel en la detección precoz de posibles situaciones de violencia de género en el ámbito hospitalario e identificar las principales necesidades formativas.</w:t>
      </w:r>
    </w:p>
    <w:p w14:paraId="4E040E41" w14:textId="77777777" w:rsidR="00B52AD9" w:rsidRPr="00B52AD9" w:rsidRDefault="00B52AD9" w:rsidP="00B52AD9">
      <w:pPr>
        <w:jc w:val="both"/>
        <w:rPr>
          <w:b/>
        </w:rPr>
      </w:pPr>
      <w:r w:rsidRPr="00B52AD9">
        <w:rPr>
          <w:b/>
        </w:rPr>
        <w:t>Material y métodos</w:t>
      </w:r>
    </w:p>
    <w:p w14:paraId="0CA3BE77" w14:textId="77777777" w:rsidR="00B52AD9" w:rsidRPr="00B52AD9" w:rsidRDefault="00B52AD9" w:rsidP="00B52AD9">
      <w:pPr>
        <w:jc w:val="both"/>
      </w:pPr>
      <w:r w:rsidRPr="00B52AD9">
        <w:t>Se realizó un estudio observacional, descriptivo y transversal en un hospital general de segundo nivel. La población de estudio estuvo constituida por trabajadores no sanitarios pertenecientes a los servicios de admisión, atención al usuario, administración, celadores, seguridad y personal de información.</w:t>
      </w:r>
    </w:p>
    <w:p w14:paraId="00CE8F76" w14:textId="77777777" w:rsidR="00B52AD9" w:rsidRPr="00B52AD9" w:rsidRDefault="00B52AD9" w:rsidP="00B52AD9">
      <w:pPr>
        <w:jc w:val="both"/>
      </w:pPr>
      <w:r w:rsidRPr="00B52AD9">
        <w:t>La recogida de datos se llevó a cabo mediante un cuestionario anónimo y voluntario que incluyó variables sociodemográficas, categoría profesional, antigüedad y formación previa en violencia de género. Asimismo, se evaluó el conocimiento de los indicadores de sospecha, los protocolos institucionales de actuación, la percepción de su responsabilidad en la detección de casos y la confianza para comunicar una posible situación al equipo asistencial.</w:t>
      </w:r>
    </w:p>
    <w:p w14:paraId="0F624623" w14:textId="77777777" w:rsidR="00B52AD9" w:rsidRPr="00B52AD9" w:rsidRDefault="00B52AD9" w:rsidP="00B52AD9">
      <w:pPr>
        <w:jc w:val="both"/>
      </w:pPr>
      <w:r w:rsidRPr="00B52AD9">
        <w:t>Los datos fueron analizados mediante estadística descriptiva. Las variables cuantitativas se expresaron como media y desviación estándar, mientras que las cualitativas se presentaron mediante frecuencias y porcentajes.</w:t>
      </w:r>
    </w:p>
    <w:p w14:paraId="48295CE5" w14:textId="77777777" w:rsidR="00B52AD9" w:rsidRPr="00B52AD9" w:rsidRDefault="00B52AD9" w:rsidP="00B52AD9">
      <w:pPr>
        <w:jc w:val="both"/>
        <w:rPr>
          <w:b/>
        </w:rPr>
      </w:pPr>
      <w:r w:rsidRPr="00B52AD9">
        <w:rPr>
          <w:b/>
        </w:rPr>
        <w:lastRenderedPageBreak/>
        <w:t>Resultados</w:t>
      </w:r>
    </w:p>
    <w:p w14:paraId="75DD9AA9" w14:textId="77777777" w:rsidR="00B52AD9" w:rsidRPr="00B52AD9" w:rsidRDefault="00B52AD9" w:rsidP="00B52AD9">
      <w:pPr>
        <w:jc w:val="both"/>
      </w:pPr>
      <w:r w:rsidRPr="00B52AD9">
        <w:t>Participaron 126 trabajadores, con una edad media de 44,9 ± 10,3 años y una antigüedad media de 12,7 años. El 64% fueron mujeres y el 36% hombres.</w:t>
      </w:r>
    </w:p>
    <w:p w14:paraId="51834944" w14:textId="77777777" w:rsidR="00B52AD9" w:rsidRPr="00B52AD9" w:rsidRDefault="00B52AD9" w:rsidP="00B52AD9">
      <w:pPr>
        <w:jc w:val="both"/>
      </w:pPr>
      <w:r w:rsidRPr="00B52AD9">
        <w:t>El 79% de los participantes consideró que el personal no sanitario puede desempeñar un papel relevante en la detección precoz de posibles casos de violencia de género. Sin embargo, solo el 41% manifestó conocer adecuadamente el protocolo de actuación vigente en el hospital y el 38% afirmó haber recibido formación específica sobre esta materia durante los últimos cinco años.</w:t>
      </w:r>
    </w:p>
    <w:p w14:paraId="349EA9EB" w14:textId="77777777" w:rsidR="00B52AD9" w:rsidRPr="00B52AD9" w:rsidRDefault="00B52AD9" w:rsidP="00B52AD9">
      <w:pPr>
        <w:jc w:val="both"/>
      </w:pPr>
      <w:r w:rsidRPr="00B52AD9">
        <w:t>Los indicadores de sospecha más reconocidos fueron la presencia de lesiones repetidas (82%), el comportamiento temeroso de la paciente (74%) y la actitud controladora del acompañante (69%). No obstante, únicamente el 46% manifestó sentirse seguro para comunicar una sospecha al personal sanitario o a los responsables designados.</w:t>
      </w:r>
    </w:p>
    <w:p w14:paraId="45E96BA5" w14:textId="77777777" w:rsidR="00B52AD9" w:rsidRPr="00B52AD9" w:rsidRDefault="00B52AD9" w:rsidP="00B52AD9">
      <w:pPr>
        <w:jc w:val="both"/>
      </w:pPr>
      <w:r w:rsidRPr="00B52AD9">
        <w:t>El 91% de los encuestados consideró necesaria la realización de actividades formativas periódicas sobre violencia de género y el 86% señaló que disponer de protocolos claros y accesibles facilitaría su actuación ante posibles casos.</w:t>
      </w:r>
    </w:p>
    <w:p w14:paraId="26D37987" w14:textId="77777777" w:rsidR="00B52AD9" w:rsidRPr="00B52AD9" w:rsidRDefault="00B52AD9" w:rsidP="00B52AD9">
      <w:pPr>
        <w:jc w:val="both"/>
        <w:rPr>
          <w:b/>
        </w:rPr>
      </w:pPr>
      <w:r w:rsidRPr="00B52AD9">
        <w:rPr>
          <w:b/>
        </w:rPr>
        <w:t>Conclusiones</w:t>
      </w:r>
    </w:p>
    <w:p w14:paraId="19E9E8B1" w14:textId="77777777" w:rsidR="00B52AD9" w:rsidRPr="00B52AD9" w:rsidRDefault="00B52AD9" w:rsidP="00B52AD9">
      <w:pPr>
        <w:jc w:val="both"/>
      </w:pPr>
      <w:r w:rsidRPr="00B52AD9">
        <w:t>El personal no sanitario puede contribuir de forma significativa a la detección precoz de situaciones de violencia de género en el ámbito hospitalario gracias a su contacto directo con pacientes y familiares. No obstante, los resultados evidencian la existencia de carencias en el conocimiento de los protocolos y en la formación específica, lo que puede limitar su capacidad para actuar de manera adecuada.</w:t>
      </w:r>
    </w:p>
    <w:p w14:paraId="3D908E11" w14:textId="77777777" w:rsidR="00B52AD9" w:rsidRPr="00B52AD9" w:rsidRDefault="00B52AD9" w:rsidP="00B52AD9">
      <w:pPr>
        <w:jc w:val="both"/>
      </w:pPr>
      <w:r w:rsidRPr="00B52AD9">
        <w:t>La implantación de programas de formación continuada, la difusión de los procedimientos institucionales y el fortalecimiento de la coordinación entre el personal sanitario y no sanitario permitirían mejorar la identificación y derivación temprana de posibles víctimas. Integrar a todo el personal hospitalario en las estrategias de sensibilización y prevención favorece una respuesta asistencial más eficaz, segura y centrada en las necesidades de las mujeres afectadas.</w:t>
      </w:r>
    </w:p>
    <w:p w14:paraId="6DA6EBC1" w14:textId="77777777" w:rsidR="00B52AD9" w:rsidRPr="00B52AD9" w:rsidRDefault="00B52AD9" w:rsidP="00B52AD9">
      <w:pPr>
        <w:jc w:val="both"/>
        <w:rPr>
          <w:b/>
        </w:rPr>
      </w:pPr>
      <w:r w:rsidRPr="00B52AD9">
        <w:rPr>
          <w:b/>
        </w:rPr>
        <w:t>Bibliografía</w:t>
      </w:r>
    </w:p>
    <w:p w14:paraId="37AF3331" w14:textId="77777777" w:rsidR="00B52AD9" w:rsidRPr="00B52AD9" w:rsidRDefault="00B52AD9" w:rsidP="00B52AD9">
      <w:pPr>
        <w:numPr>
          <w:ilvl w:val="0"/>
          <w:numId w:val="61"/>
        </w:numPr>
        <w:jc w:val="both"/>
      </w:pPr>
      <w:r w:rsidRPr="00B52AD9">
        <w:rPr>
          <w:lang w:val="en-GB"/>
        </w:rPr>
        <w:t xml:space="preserve">World Health Organization. </w:t>
      </w:r>
      <w:r w:rsidRPr="00B52AD9">
        <w:rPr>
          <w:i/>
          <w:lang w:val="en-GB"/>
        </w:rPr>
        <w:t>Responding to Intimate Partner Violence and Sexual Violence Against Women: WHO Clinical and Policy Guidelines</w:t>
      </w:r>
      <w:r w:rsidRPr="00B52AD9">
        <w:rPr>
          <w:lang w:val="en-GB"/>
        </w:rPr>
        <w:t xml:space="preserve">. </w:t>
      </w:r>
      <w:r w:rsidRPr="00B52AD9">
        <w:t>Ginebra: Organización Mundial de la Salud; 2013.</w:t>
      </w:r>
    </w:p>
    <w:p w14:paraId="574B9DD0" w14:textId="77777777" w:rsidR="00B52AD9" w:rsidRPr="00B52AD9" w:rsidRDefault="00B52AD9" w:rsidP="00B52AD9">
      <w:pPr>
        <w:numPr>
          <w:ilvl w:val="0"/>
          <w:numId w:val="61"/>
        </w:numPr>
        <w:jc w:val="both"/>
      </w:pPr>
      <w:r w:rsidRPr="00B52AD9">
        <w:t xml:space="preserve">Ministerio de Sanidad. </w:t>
      </w:r>
      <w:r w:rsidRPr="00B52AD9">
        <w:rPr>
          <w:i/>
        </w:rPr>
        <w:t>Protocolo común para la actuación sanitaria ante la violencia de género</w:t>
      </w:r>
      <w:r w:rsidRPr="00B52AD9">
        <w:t>. Madrid: Ministerio de Sanidad; actualización vigente.</w:t>
      </w:r>
    </w:p>
    <w:p w14:paraId="0AF22B8D" w14:textId="77777777" w:rsidR="00B52AD9" w:rsidRPr="00B52AD9" w:rsidRDefault="00B52AD9" w:rsidP="00B52AD9">
      <w:pPr>
        <w:numPr>
          <w:ilvl w:val="0"/>
          <w:numId w:val="61"/>
        </w:numPr>
        <w:jc w:val="both"/>
      </w:pPr>
      <w:r w:rsidRPr="00B52AD9">
        <w:lastRenderedPageBreak/>
        <w:t xml:space="preserve">Delegación del Gobierno contra la Violencia de Género. </w:t>
      </w:r>
      <w:r w:rsidRPr="00B52AD9">
        <w:rPr>
          <w:i/>
        </w:rPr>
        <w:t>Estrategia estatal para combatir las violencias machistas</w:t>
      </w:r>
      <w:r w:rsidRPr="00B52AD9">
        <w:t>. Madrid: Ministerio de Igualdad.</w:t>
      </w:r>
    </w:p>
    <w:p w14:paraId="077D84C9" w14:textId="77777777" w:rsidR="00B52AD9" w:rsidRPr="00B52AD9" w:rsidRDefault="00B52AD9" w:rsidP="00B52AD9">
      <w:pPr>
        <w:numPr>
          <w:ilvl w:val="0"/>
          <w:numId w:val="61"/>
        </w:numPr>
        <w:jc w:val="both"/>
      </w:pPr>
      <w:r w:rsidRPr="00B52AD9">
        <w:rPr>
          <w:lang w:val="en-GB"/>
        </w:rPr>
        <w:t xml:space="preserve">United Nations. </w:t>
      </w:r>
      <w:r w:rsidRPr="00B52AD9">
        <w:rPr>
          <w:i/>
          <w:lang w:val="en-GB"/>
        </w:rPr>
        <w:t>Handbook for Legislation on Violence against Women</w:t>
      </w:r>
      <w:r w:rsidRPr="00B52AD9">
        <w:rPr>
          <w:lang w:val="en-GB"/>
        </w:rPr>
        <w:t xml:space="preserve">. </w:t>
      </w:r>
      <w:r w:rsidRPr="00B52AD9">
        <w:t>Nueva York: Naciones Unidas; 2010.</w:t>
      </w:r>
    </w:p>
    <w:p w14:paraId="755BCE36" w14:textId="77777777" w:rsidR="00B52AD9" w:rsidRPr="00B52AD9" w:rsidRDefault="00B52AD9" w:rsidP="00B52AD9">
      <w:pPr>
        <w:numPr>
          <w:ilvl w:val="0"/>
          <w:numId w:val="61"/>
        </w:numPr>
        <w:jc w:val="both"/>
      </w:pPr>
      <w:r w:rsidRPr="00B52AD9">
        <w:t xml:space="preserve">Organización Panamericana de la Salud. </w:t>
      </w:r>
      <w:r w:rsidRPr="00B52AD9">
        <w:rPr>
          <w:i/>
        </w:rPr>
        <w:t>Fortalecimiento de la respuesta del sector salud a la violencia contra las mujeres</w:t>
      </w:r>
      <w:r w:rsidRPr="00B52AD9">
        <w:t>. Washington, D.C.: OPS; 2021.</w:t>
      </w:r>
    </w:p>
    <w:p w14:paraId="24922E34" w14:textId="77777777" w:rsidR="00146685" w:rsidRDefault="00146685" w:rsidP="00043CFC">
      <w:pPr>
        <w:jc w:val="both"/>
      </w:pPr>
    </w:p>
    <w:p w14:paraId="3FB5F009" w14:textId="77777777" w:rsidR="00B52AD9" w:rsidRDefault="00B52AD9" w:rsidP="00043CFC">
      <w:pPr>
        <w:jc w:val="both"/>
      </w:pPr>
    </w:p>
    <w:p w14:paraId="740B6CE0" w14:textId="77777777" w:rsidR="00B52AD9" w:rsidRDefault="00B52AD9" w:rsidP="00043CFC">
      <w:pPr>
        <w:jc w:val="both"/>
      </w:pPr>
    </w:p>
    <w:p w14:paraId="00C0E120" w14:textId="77777777" w:rsidR="00B52AD9" w:rsidRDefault="00B52AD9" w:rsidP="00043CFC">
      <w:pPr>
        <w:jc w:val="both"/>
      </w:pPr>
    </w:p>
    <w:p w14:paraId="6543C995" w14:textId="77777777" w:rsidR="00B52AD9" w:rsidRDefault="00B52AD9" w:rsidP="00043CFC">
      <w:pPr>
        <w:jc w:val="both"/>
      </w:pPr>
    </w:p>
    <w:p w14:paraId="380F3327" w14:textId="77777777" w:rsidR="00B52AD9" w:rsidRDefault="00B52AD9" w:rsidP="00043CFC">
      <w:pPr>
        <w:jc w:val="both"/>
      </w:pPr>
    </w:p>
    <w:p w14:paraId="0135CF44" w14:textId="77777777" w:rsidR="00B52AD9" w:rsidRDefault="00B52AD9" w:rsidP="00043CFC">
      <w:pPr>
        <w:jc w:val="both"/>
      </w:pPr>
    </w:p>
    <w:p w14:paraId="73B9EF20" w14:textId="77777777" w:rsidR="00B52AD9" w:rsidRDefault="00B52AD9" w:rsidP="00043CFC">
      <w:pPr>
        <w:jc w:val="both"/>
      </w:pPr>
    </w:p>
    <w:p w14:paraId="082DCD20" w14:textId="77777777" w:rsidR="00B52AD9" w:rsidRDefault="00B52AD9" w:rsidP="00043CFC">
      <w:pPr>
        <w:jc w:val="both"/>
      </w:pPr>
    </w:p>
    <w:p w14:paraId="3B9FCC12" w14:textId="77777777" w:rsidR="00B52AD9" w:rsidRDefault="00B52AD9" w:rsidP="00043CFC">
      <w:pPr>
        <w:jc w:val="both"/>
      </w:pPr>
    </w:p>
    <w:p w14:paraId="3BE74B0F" w14:textId="77777777" w:rsidR="00B52AD9" w:rsidRDefault="00B52AD9" w:rsidP="00043CFC">
      <w:pPr>
        <w:jc w:val="both"/>
      </w:pPr>
    </w:p>
    <w:p w14:paraId="6BDE7097" w14:textId="77777777" w:rsidR="00B52AD9" w:rsidRDefault="00B52AD9" w:rsidP="00043CFC">
      <w:pPr>
        <w:jc w:val="both"/>
      </w:pPr>
    </w:p>
    <w:p w14:paraId="3742EBFA" w14:textId="77777777" w:rsidR="00B52AD9" w:rsidRDefault="00B52AD9" w:rsidP="00043CFC">
      <w:pPr>
        <w:jc w:val="both"/>
      </w:pPr>
    </w:p>
    <w:p w14:paraId="15790B02" w14:textId="77777777" w:rsidR="00B52AD9" w:rsidRDefault="00B52AD9" w:rsidP="00043CFC">
      <w:pPr>
        <w:jc w:val="both"/>
      </w:pPr>
    </w:p>
    <w:p w14:paraId="4BC25661" w14:textId="77777777" w:rsidR="00B52AD9" w:rsidRDefault="00B52AD9" w:rsidP="00043CFC">
      <w:pPr>
        <w:jc w:val="both"/>
      </w:pPr>
    </w:p>
    <w:p w14:paraId="25DC1604" w14:textId="77777777" w:rsidR="00B52AD9" w:rsidRDefault="00B52AD9" w:rsidP="00043CFC">
      <w:pPr>
        <w:jc w:val="both"/>
      </w:pPr>
    </w:p>
    <w:p w14:paraId="0904D660" w14:textId="77777777" w:rsidR="00B52AD9" w:rsidRDefault="00B52AD9" w:rsidP="00043CFC">
      <w:pPr>
        <w:jc w:val="both"/>
      </w:pPr>
    </w:p>
    <w:p w14:paraId="4D1E6E6A" w14:textId="77777777" w:rsidR="00B52AD9" w:rsidRDefault="00B52AD9" w:rsidP="00043CFC">
      <w:pPr>
        <w:jc w:val="both"/>
      </w:pPr>
    </w:p>
    <w:p w14:paraId="4F44C9BA" w14:textId="77777777" w:rsidR="00B52AD9" w:rsidRDefault="00B52AD9" w:rsidP="00043CFC">
      <w:pPr>
        <w:jc w:val="both"/>
      </w:pPr>
    </w:p>
    <w:p w14:paraId="016B4C52" w14:textId="77777777" w:rsidR="00B52AD9" w:rsidRDefault="00B52AD9" w:rsidP="00043CFC">
      <w:pPr>
        <w:jc w:val="both"/>
      </w:pPr>
    </w:p>
    <w:p w14:paraId="2FAF276A" w14:textId="77777777" w:rsidR="00B52AD9" w:rsidRDefault="00B52AD9" w:rsidP="00043CFC">
      <w:pPr>
        <w:jc w:val="both"/>
      </w:pPr>
    </w:p>
    <w:p w14:paraId="0F82BCF0" w14:textId="77777777" w:rsidR="00B52AD9" w:rsidRDefault="00B52AD9" w:rsidP="00043CFC">
      <w:pPr>
        <w:jc w:val="both"/>
      </w:pPr>
    </w:p>
    <w:p w14:paraId="00607EE6" w14:textId="77777777" w:rsidR="000E46B3" w:rsidRPr="000E46B3" w:rsidRDefault="000E46B3" w:rsidP="000E46B3">
      <w:pPr>
        <w:jc w:val="both"/>
        <w:rPr>
          <w:b/>
          <w:bCs/>
        </w:rPr>
      </w:pPr>
      <w:proofErr w:type="gramStart"/>
      <w:r w:rsidRPr="000E46B3">
        <w:rPr>
          <w:b/>
          <w:bCs/>
        </w:rPr>
        <w:lastRenderedPageBreak/>
        <w:t>MOBBING</w:t>
      </w:r>
      <w:proofErr w:type="gramEnd"/>
      <w:r w:rsidRPr="000E46B3">
        <w:rPr>
          <w:b/>
          <w:bCs/>
        </w:rPr>
        <w:t xml:space="preserve"> EN EL PERSONAL NO SANITARIO HOSPITALARIO: FACTORES ASOCIADOS Y CONSECUENCIAS LABORALES</w:t>
      </w:r>
    </w:p>
    <w:p w14:paraId="10F0F142" w14:textId="77777777" w:rsidR="000E46B3" w:rsidRPr="000E46B3" w:rsidRDefault="000E46B3" w:rsidP="000E46B3">
      <w:pPr>
        <w:jc w:val="both"/>
      </w:pPr>
      <w:r w:rsidRPr="000E46B3">
        <w:t>Introducción</w:t>
      </w:r>
    </w:p>
    <w:p w14:paraId="06643132" w14:textId="77777777" w:rsidR="000E46B3" w:rsidRPr="000E46B3" w:rsidRDefault="000E46B3" w:rsidP="000E46B3">
      <w:pPr>
        <w:jc w:val="both"/>
      </w:pPr>
      <w:r w:rsidRPr="000E46B3">
        <w:t xml:space="preserve">El </w:t>
      </w:r>
      <w:proofErr w:type="spellStart"/>
      <w:proofErr w:type="gramStart"/>
      <w:r w:rsidRPr="000E46B3">
        <w:t>mobbing</w:t>
      </w:r>
      <w:proofErr w:type="spellEnd"/>
      <w:proofErr w:type="gramEnd"/>
      <w:r w:rsidRPr="000E46B3">
        <w:t xml:space="preserve"> o acoso laboral se define como la exposición repetida y prolongada a conductas hostiles, humillantes o intimidatorias en el entorno de trabajo, con el objetivo o el efecto de menoscabar la dignidad, el bienestar psicológico o el desempeño profesional de la persona afectada. Este fenómeno representa un importante problema de salud laboral, ya que puede ocasionar consecuencias negativas tanto para los trabajadores como para las organizaciones, incluyendo deterioro de la salud mental, disminución del rendimiento, incremento del absentismo y aumento de la rotación del personal.</w:t>
      </w:r>
    </w:p>
    <w:p w14:paraId="4CC00032" w14:textId="77777777" w:rsidR="000E46B3" w:rsidRPr="000E46B3" w:rsidRDefault="000E46B3" w:rsidP="000E46B3">
      <w:pPr>
        <w:jc w:val="both"/>
      </w:pPr>
      <w:r w:rsidRPr="000E46B3">
        <w:t>En el ámbito hospitalario, el personal no sanitario desempeña funciones esenciales en áreas como administración, admisión, limpieza, mantenimiento, logística, informática, seguridad y atención al usuario. Estos profesionales trabajan en entornos caracterizados por una elevada presión asistencial, relaciones jerárquicas complejas y una intensa interacción con diferentes categorías profesionales. Estas circunstancias pueden favorecer la aparición de conflictos interpersonales que, cuando se mantienen en el tiempo, pueden derivar en situaciones de acoso laboral.</w:t>
      </w:r>
    </w:p>
    <w:p w14:paraId="7CD45090" w14:textId="77777777" w:rsidR="000E46B3" w:rsidRPr="000E46B3" w:rsidRDefault="000E46B3" w:rsidP="000E46B3">
      <w:pPr>
        <w:jc w:val="both"/>
      </w:pPr>
      <w:r w:rsidRPr="000E46B3">
        <w:t xml:space="preserve">La identificación de los factores asociados al </w:t>
      </w:r>
      <w:proofErr w:type="spellStart"/>
      <w:proofErr w:type="gramStart"/>
      <w:r w:rsidRPr="000E46B3">
        <w:t>mobbing</w:t>
      </w:r>
      <w:proofErr w:type="spellEnd"/>
      <w:proofErr w:type="gramEnd"/>
      <w:r w:rsidRPr="000E46B3">
        <w:t xml:space="preserve"> resulta fundamental para diseñar estrategias preventivas que promuevan un entorno de trabajo seguro y saludable. El objetivo de este estudio fue analizar la percepción del acoso laboral en el personal no sanitario hospitalario, identificar los factores relacionados con su aparición y evaluar sus principales consecuencias laborales.</w:t>
      </w:r>
    </w:p>
    <w:p w14:paraId="7823A4E3" w14:textId="77777777" w:rsidR="000E46B3" w:rsidRPr="000E46B3" w:rsidRDefault="000E46B3" w:rsidP="000E46B3">
      <w:pPr>
        <w:jc w:val="both"/>
      </w:pPr>
      <w:r w:rsidRPr="000E46B3">
        <w:t>Material y métodos</w:t>
      </w:r>
    </w:p>
    <w:p w14:paraId="0A798CFB" w14:textId="77777777" w:rsidR="000E46B3" w:rsidRPr="000E46B3" w:rsidRDefault="000E46B3" w:rsidP="000E46B3">
      <w:pPr>
        <w:jc w:val="both"/>
      </w:pPr>
      <w:r w:rsidRPr="000E46B3">
        <w:t>Se realizó un estudio observacional, descriptivo y transversal en un hospital general de segundo nivel. La población de estudio estuvo formada por trabajadores no sanitarios pertenecientes a los servicios de administración, admisión, limpieza, mantenimiento, logística, informática, seguridad y atención al usuario.</w:t>
      </w:r>
    </w:p>
    <w:p w14:paraId="74223E0A" w14:textId="77777777" w:rsidR="000E46B3" w:rsidRPr="000E46B3" w:rsidRDefault="000E46B3" w:rsidP="000E46B3">
      <w:pPr>
        <w:jc w:val="both"/>
      </w:pPr>
      <w:r w:rsidRPr="000E46B3">
        <w:t xml:space="preserve">La recogida de información se realizó mediante un cuestionario anónimo y voluntario compuesto por variables sociodemográficas (edad, sexo, categoría profesional y antigüedad), así como preguntas relacionadas con el clima laboral, la comunicación con los responsables, el apoyo entre compañeros y la percepción de conductas de acoso psicológico. También se evaluaron las consecuencias del </w:t>
      </w:r>
      <w:proofErr w:type="spellStart"/>
      <w:proofErr w:type="gramStart"/>
      <w:r w:rsidRPr="000E46B3">
        <w:t>mobbing</w:t>
      </w:r>
      <w:proofErr w:type="spellEnd"/>
      <w:proofErr w:type="gramEnd"/>
      <w:r w:rsidRPr="000E46B3">
        <w:t xml:space="preserve"> sobre la satisfacción laboral, el bienestar emocional, el absentismo y la intención de cambiar de puesto de trabajo.</w:t>
      </w:r>
    </w:p>
    <w:p w14:paraId="60B30310" w14:textId="77777777" w:rsidR="000E46B3" w:rsidRPr="000E46B3" w:rsidRDefault="000E46B3" w:rsidP="000E46B3">
      <w:pPr>
        <w:jc w:val="both"/>
      </w:pPr>
      <w:r w:rsidRPr="000E46B3">
        <w:lastRenderedPageBreak/>
        <w:t>Los datos fueron analizados mediante estadística descriptiva. Las variables cuantitativas se expresaron como media y desviación estándar y las cualitativas mediante frecuencias y porcentajes.</w:t>
      </w:r>
    </w:p>
    <w:p w14:paraId="4E895959" w14:textId="77777777" w:rsidR="000E46B3" w:rsidRPr="000E46B3" w:rsidRDefault="000E46B3" w:rsidP="000E46B3">
      <w:pPr>
        <w:jc w:val="both"/>
      </w:pPr>
      <w:r w:rsidRPr="000E46B3">
        <w:t>Resultados</w:t>
      </w:r>
    </w:p>
    <w:p w14:paraId="063591B0" w14:textId="77777777" w:rsidR="000E46B3" w:rsidRPr="000E46B3" w:rsidRDefault="000E46B3" w:rsidP="000E46B3">
      <w:pPr>
        <w:jc w:val="both"/>
      </w:pPr>
      <w:r w:rsidRPr="000E46B3">
        <w:t>Participaron 136 trabajadores, con una edad media de 45,5 ± 9,8 años y una antigüedad laboral media de 13,4 años. El 62% fueron mujeres y el 38% hombres.</w:t>
      </w:r>
    </w:p>
    <w:p w14:paraId="5022C50F" w14:textId="77777777" w:rsidR="000E46B3" w:rsidRPr="000E46B3" w:rsidRDefault="000E46B3" w:rsidP="000E46B3">
      <w:pPr>
        <w:jc w:val="both"/>
      </w:pPr>
      <w:r w:rsidRPr="000E46B3">
        <w:t>El 27% de los participantes manifestó haber experimentado conductas compatibles con acoso laboral durante el último año, siendo las más frecuentes la desvalorización del trabajo realizado (58%), la exclusión de determinadas actividades o decisiones (46%), la comunicación hostil o despectiva (42%) y la asignación reiterada de tareas consideradas injustificadas (35%).</w:t>
      </w:r>
    </w:p>
    <w:p w14:paraId="60EEAC29" w14:textId="77777777" w:rsidR="000E46B3" w:rsidRPr="000E46B3" w:rsidRDefault="000E46B3" w:rsidP="000E46B3">
      <w:pPr>
        <w:jc w:val="both"/>
      </w:pPr>
      <w:r w:rsidRPr="000E46B3">
        <w:t xml:space="preserve">Entre los factores asociados al </w:t>
      </w:r>
      <w:proofErr w:type="spellStart"/>
      <w:proofErr w:type="gramStart"/>
      <w:r w:rsidRPr="000E46B3">
        <w:t>mobbing</w:t>
      </w:r>
      <w:proofErr w:type="spellEnd"/>
      <w:proofErr w:type="gramEnd"/>
      <w:r w:rsidRPr="000E46B3">
        <w:t xml:space="preserve"> destacaron la deficiente comunicación interna (61%), la sobrecarga de trabajo (56%), la falta de apoyo por parte de los responsables (49%) y los conflictos interpersonales no resueltos (45%).</w:t>
      </w:r>
    </w:p>
    <w:p w14:paraId="3F4F8752" w14:textId="77777777" w:rsidR="000E46B3" w:rsidRPr="000E46B3" w:rsidRDefault="000E46B3" w:rsidP="000E46B3">
      <w:pPr>
        <w:jc w:val="both"/>
      </w:pPr>
      <w:r w:rsidRPr="000E46B3">
        <w:t>Respecto a las consecuencias laborales, el 64% de los trabajadores que refirieron haber sufrido acoso manifestó una disminución de la satisfacción laboral, el 52% presentó síntomas compatibles con estrés laboral y el 39% reconoció haber considerado solicitar un cambio de puesto o abandonar la organización. Asimismo, el 33% indicó haber recurrido a bajas laborales relacionadas con problemas emocionales o psicológicos.</w:t>
      </w:r>
    </w:p>
    <w:p w14:paraId="69073A3D" w14:textId="77777777" w:rsidR="000E46B3" w:rsidRPr="000E46B3" w:rsidRDefault="000E46B3" w:rsidP="000E46B3">
      <w:pPr>
        <w:jc w:val="both"/>
      </w:pPr>
      <w:r w:rsidRPr="000E46B3">
        <w:t>Conclusiones</w:t>
      </w:r>
    </w:p>
    <w:p w14:paraId="5552341D" w14:textId="77777777" w:rsidR="000E46B3" w:rsidRPr="000E46B3" w:rsidRDefault="000E46B3" w:rsidP="000E46B3">
      <w:pPr>
        <w:jc w:val="both"/>
      </w:pPr>
      <w:r w:rsidRPr="000E46B3">
        <w:t xml:space="preserve">El </w:t>
      </w:r>
      <w:proofErr w:type="spellStart"/>
      <w:proofErr w:type="gramStart"/>
      <w:r w:rsidRPr="000E46B3">
        <w:t>mobbing</w:t>
      </w:r>
      <w:proofErr w:type="spellEnd"/>
      <w:proofErr w:type="gramEnd"/>
      <w:r w:rsidRPr="000E46B3">
        <w:t xml:space="preserve"> constituye un problema relevante entre el personal no sanitario hospitalario y puede afectar de manera significativa al bienestar de los trabajadores y al funcionamiento de las organizaciones sanitarias. La comunicación deficiente, la sobrecarga laboral y la falta de apoyo institucional se identificaron como los principales factores asociados a su aparición.</w:t>
      </w:r>
    </w:p>
    <w:p w14:paraId="4DA62356" w14:textId="77777777" w:rsidR="000E46B3" w:rsidRPr="000E46B3" w:rsidRDefault="000E46B3" w:rsidP="000E46B3">
      <w:pPr>
        <w:jc w:val="both"/>
      </w:pPr>
      <w:r w:rsidRPr="000E46B3">
        <w:t>Resulta imprescindible promover políticas de tolerancia cero frente al acoso laboral, reforzar los canales de comunicación y establecer procedimientos confidenciales para la notificación y gestión de estos casos. Además, el desarrollo de programas de formación en liderazgo, resolución de conflictos y prevención de riesgos psicosociales puede contribuir a mejorar el clima organizacional, proteger la salud de los trabajadores y favorecer un entorno laboral respetuoso y seguro.</w:t>
      </w:r>
    </w:p>
    <w:p w14:paraId="79A67C2C" w14:textId="77777777" w:rsidR="000E46B3" w:rsidRPr="000E46B3" w:rsidRDefault="000E46B3" w:rsidP="000E46B3">
      <w:pPr>
        <w:jc w:val="both"/>
      </w:pPr>
      <w:r w:rsidRPr="000E46B3">
        <w:t>Bibliografía</w:t>
      </w:r>
    </w:p>
    <w:p w14:paraId="02F68D56" w14:textId="77777777" w:rsidR="000E46B3" w:rsidRPr="000E46B3" w:rsidRDefault="000E46B3" w:rsidP="000E46B3">
      <w:pPr>
        <w:jc w:val="both"/>
      </w:pPr>
      <w:r w:rsidRPr="000E46B3">
        <w:t>1.</w:t>
      </w:r>
      <w:r w:rsidRPr="000E46B3">
        <w:tab/>
        <w:t xml:space="preserve">Organización Internacional del Trabajo. </w:t>
      </w:r>
      <w:r w:rsidRPr="000E46B3">
        <w:rPr>
          <w:lang w:val="en-GB"/>
        </w:rPr>
        <w:t xml:space="preserve">Violence and Harassment Convention, 2019 (No. 190). </w:t>
      </w:r>
      <w:r w:rsidRPr="000E46B3">
        <w:t>Ginebra: Organización Internacional del Trabajo; 2019.</w:t>
      </w:r>
    </w:p>
    <w:p w14:paraId="4798DEB4" w14:textId="77777777" w:rsidR="000E46B3" w:rsidRPr="000E46B3" w:rsidRDefault="000E46B3" w:rsidP="000E46B3">
      <w:pPr>
        <w:jc w:val="both"/>
      </w:pPr>
      <w:r w:rsidRPr="00226AFD">
        <w:rPr>
          <w:lang w:val="en-GB"/>
        </w:rPr>
        <w:lastRenderedPageBreak/>
        <w:t>2.</w:t>
      </w:r>
      <w:r w:rsidRPr="00226AFD">
        <w:rPr>
          <w:lang w:val="en-GB"/>
        </w:rPr>
        <w:tab/>
      </w:r>
      <w:proofErr w:type="spellStart"/>
      <w:r w:rsidRPr="00226AFD">
        <w:rPr>
          <w:lang w:val="en-GB"/>
        </w:rPr>
        <w:t>Leymann</w:t>
      </w:r>
      <w:proofErr w:type="spellEnd"/>
      <w:r w:rsidRPr="00226AFD">
        <w:rPr>
          <w:lang w:val="en-GB"/>
        </w:rPr>
        <w:t xml:space="preserve"> H. Mobbing and psychological terror at workplaces. </w:t>
      </w:r>
      <w:proofErr w:type="spellStart"/>
      <w:r w:rsidRPr="000E46B3">
        <w:t>Violence</w:t>
      </w:r>
      <w:proofErr w:type="spellEnd"/>
      <w:r w:rsidRPr="000E46B3">
        <w:t xml:space="preserve"> and </w:t>
      </w:r>
      <w:proofErr w:type="spellStart"/>
      <w:r w:rsidRPr="000E46B3">
        <w:t>Victims</w:t>
      </w:r>
      <w:proofErr w:type="spellEnd"/>
      <w:r w:rsidRPr="000E46B3">
        <w:t>. 1990;5(2):119-126.</w:t>
      </w:r>
    </w:p>
    <w:p w14:paraId="4EA47DA7" w14:textId="77777777" w:rsidR="000E46B3" w:rsidRPr="000E46B3" w:rsidRDefault="000E46B3" w:rsidP="000E46B3">
      <w:pPr>
        <w:jc w:val="both"/>
        <w:rPr>
          <w:lang w:val="en-GB"/>
        </w:rPr>
      </w:pPr>
      <w:r w:rsidRPr="000E46B3">
        <w:t>3.</w:t>
      </w:r>
      <w:r w:rsidRPr="000E46B3">
        <w:tab/>
        <w:t xml:space="preserve">Instituto Nacional de Seguridad y Salud en el Trabajo. Acoso psicológico en el trabajo: evaluación y prevención. </w:t>
      </w:r>
      <w:r w:rsidRPr="000E46B3">
        <w:rPr>
          <w:lang w:val="en-GB"/>
        </w:rPr>
        <w:t>Madrid: INSST.</w:t>
      </w:r>
    </w:p>
    <w:p w14:paraId="17754D7B" w14:textId="77777777" w:rsidR="000E46B3" w:rsidRPr="000E46B3" w:rsidRDefault="000E46B3" w:rsidP="000E46B3">
      <w:pPr>
        <w:jc w:val="both"/>
      </w:pPr>
      <w:r w:rsidRPr="000E46B3">
        <w:rPr>
          <w:lang w:val="en-GB"/>
        </w:rPr>
        <w:t>4.</w:t>
      </w:r>
      <w:r w:rsidRPr="000E46B3">
        <w:rPr>
          <w:lang w:val="en-GB"/>
        </w:rPr>
        <w:tab/>
        <w:t xml:space="preserve">Einarsen S, Hoel H, Zapf D, Cooper CL, eds. Bullying and Harassment in the Workplace: Theory, Research and Practice. </w:t>
      </w:r>
      <w:r w:rsidRPr="000E46B3">
        <w:t xml:space="preserve">3rd ed. Boca </w:t>
      </w:r>
      <w:proofErr w:type="spellStart"/>
      <w:r w:rsidRPr="000E46B3">
        <w:t>Raton</w:t>
      </w:r>
      <w:proofErr w:type="spellEnd"/>
      <w:r w:rsidRPr="000E46B3">
        <w:t>: CRC Press; 2020.</w:t>
      </w:r>
    </w:p>
    <w:p w14:paraId="2BA9E79F" w14:textId="0A2A2B0C" w:rsidR="00B52AD9" w:rsidRDefault="000E46B3" w:rsidP="000E46B3">
      <w:pPr>
        <w:jc w:val="both"/>
      </w:pPr>
      <w:r w:rsidRPr="000E46B3">
        <w:t>5.</w:t>
      </w:r>
      <w:r w:rsidRPr="000E46B3">
        <w:tab/>
        <w:t xml:space="preserve">Agencia Europea para la Seguridad y la Salud en el Trabajo. </w:t>
      </w:r>
      <w:r w:rsidRPr="000E46B3">
        <w:rPr>
          <w:lang w:val="en-GB"/>
        </w:rPr>
        <w:t xml:space="preserve">Psychosocial risks and mental health at work. </w:t>
      </w:r>
      <w:r w:rsidRPr="000E46B3">
        <w:t>Luxemburgo: Oficina de Publicaciones de la Unión Europea; 2022.</w:t>
      </w:r>
    </w:p>
    <w:p w14:paraId="1DF31D85" w14:textId="77777777" w:rsidR="000E46B3" w:rsidRDefault="000E46B3" w:rsidP="000E46B3">
      <w:pPr>
        <w:jc w:val="both"/>
      </w:pPr>
    </w:p>
    <w:p w14:paraId="720B35D8" w14:textId="77777777" w:rsidR="000E46B3" w:rsidRDefault="000E46B3" w:rsidP="000E46B3">
      <w:pPr>
        <w:jc w:val="both"/>
      </w:pPr>
    </w:p>
    <w:p w14:paraId="12BCD8A6" w14:textId="77777777" w:rsidR="000E46B3" w:rsidRDefault="000E46B3" w:rsidP="000E46B3">
      <w:pPr>
        <w:jc w:val="both"/>
      </w:pPr>
    </w:p>
    <w:p w14:paraId="558067E8" w14:textId="77777777" w:rsidR="000E46B3" w:rsidRDefault="000E46B3" w:rsidP="000E46B3">
      <w:pPr>
        <w:jc w:val="both"/>
      </w:pPr>
    </w:p>
    <w:p w14:paraId="5294089B" w14:textId="77777777" w:rsidR="000E46B3" w:rsidRDefault="000E46B3" w:rsidP="000E46B3">
      <w:pPr>
        <w:jc w:val="both"/>
      </w:pPr>
    </w:p>
    <w:p w14:paraId="6D3EED55" w14:textId="77777777" w:rsidR="000E46B3" w:rsidRDefault="000E46B3" w:rsidP="000E46B3">
      <w:pPr>
        <w:jc w:val="both"/>
      </w:pPr>
    </w:p>
    <w:p w14:paraId="51B68DF2" w14:textId="77777777" w:rsidR="000E46B3" w:rsidRDefault="000E46B3" w:rsidP="000E46B3">
      <w:pPr>
        <w:jc w:val="both"/>
      </w:pPr>
    </w:p>
    <w:p w14:paraId="6B12B55F" w14:textId="77777777" w:rsidR="000E46B3" w:rsidRDefault="000E46B3" w:rsidP="000E46B3">
      <w:pPr>
        <w:jc w:val="both"/>
      </w:pPr>
    </w:p>
    <w:p w14:paraId="6BC1C1BD" w14:textId="77777777" w:rsidR="000E46B3" w:rsidRDefault="000E46B3" w:rsidP="000E46B3">
      <w:pPr>
        <w:jc w:val="both"/>
      </w:pPr>
    </w:p>
    <w:p w14:paraId="3F7074D3" w14:textId="77777777" w:rsidR="000E46B3" w:rsidRDefault="000E46B3" w:rsidP="000E46B3">
      <w:pPr>
        <w:jc w:val="both"/>
      </w:pPr>
    </w:p>
    <w:p w14:paraId="756B11EB" w14:textId="77777777" w:rsidR="000E46B3" w:rsidRDefault="000E46B3" w:rsidP="000E46B3">
      <w:pPr>
        <w:jc w:val="both"/>
      </w:pPr>
    </w:p>
    <w:p w14:paraId="0F62ADAB" w14:textId="77777777" w:rsidR="000E46B3" w:rsidRDefault="000E46B3" w:rsidP="000E46B3">
      <w:pPr>
        <w:jc w:val="both"/>
      </w:pPr>
    </w:p>
    <w:p w14:paraId="2D07338D" w14:textId="77777777" w:rsidR="000E46B3" w:rsidRDefault="000E46B3" w:rsidP="000E46B3">
      <w:pPr>
        <w:jc w:val="both"/>
      </w:pPr>
    </w:p>
    <w:p w14:paraId="3A05D0D7" w14:textId="77777777" w:rsidR="000E46B3" w:rsidRDefault="000E46B3" w:rsidP="000E46B3">
      <w:pPr>
        <w:jc w:val="both"/>
      </w:pPr>
    </w:p>
    <w:p w14:paraId="310ED6ED" w14:textId="77777777" w:rsidR="000E46B3" w:rsidRDefault="000E46B3" w:rsidP="000E46B3">
      <w:pPr>
        <w:jc w:val="both"/>
      </w:pPr>
    </w:p>
    <w:p w14:paraId="4D346C59" w14:textId="77777777" w:rsidR="000E46B3" w:rsidRDefault="000E46B3" w:rsidP="000E46B3">
      <w:pPr>
        <w:jc w:val="both"/>
      </w:pPr>
    </w:p>
    <w:p w14:paraId="3F112956" w14:textId="77777777" w:rsidR="000E46B3" w:rsidRDefault="000E46B3" w:rsidP="000E46B3">
      <w:pPr>
        <w:jc w:val="both"/>
      </w:pPr>
    </w:p>
    <w:p w14:paraId="092234BD" w14:textId="77777777" w:rsidR="000E46B3" w:rsidRDefault="000E46B3" w:rsidP="000E46B3">
      <w:pPr>
        <w:jc w:val="both"/>
      </w:pPr>
    </w:p>
    <w:p w14:paraId="4A88F674" w14:textId="77777777" w:rsidR="000E46B3" w:rsidRDefault="000E46B3" w:rsidP="000E46B3">
      <w:pPr>
        <w:jc w:val="both"/>
      </w:pPr>
    </w:p>
    <w:p w14:paraId="1DDAE078" w14:textId="77777777" w:rsidR="000E46B3" w:rsidRDefault="000E46B3" w:rsidP="000E46B3">
      <w:pPr>
        <w:jc w:val="both"/>
      </w:pPr>
    </w:p>
    <w:p w14:paraId="2F514A35" w14:textId="77777777" w:rsidR="000E46B3" w:rsidRDefault="000E46B3" w:rsidP="000E46B3">
      <w:pPr>
        <w:jc w:val="both"/>
      </w:pPr>
    </w:p>
    <w:p w14:paraId="17645D32" w14:textId="64A4D283" w:rsidR="00F670BF" w:rsidRPr="00F670BF" w:rsidRDefault="00F670BF" w:rsidP="00F670BF">
      <w:pPr>
        <w:jc w:val="both"/>
      </w:pPr>
      <w:r w:rsidRPr="00F670BF">
        <w:rPr>
          <w:b/>
        </w:rPr>
        <w:lastRenderedPageBreak/>
        <w:t>IMPACTO DE LA FORMACIÓN EN REANIMACIÓN CARDIOPULMONAR SOBRE LOS CONOCIMIENTOS DEL PERSONAL NO SANITARIO HOSPITALARIO</w:t>
      </w:r>
    </w:p>
    <w:p w14:paraId="0057F8FF" w14:textId="77777777" w:rsidR="00F670BF" w:rsidRPr="00F670BF" w:rsidRDefault="00F670BF" w:rsidP="00F670BF">
      <w:pPr>
        <w:jc w:val="both"/>
        <w:rPr>
          <w:b/>
        </w:rPr>
      </w:pPr>
      <w:r w:rsidRPr="00F670BF">
        <w:rPr>
          <w:b/>
        </w:rPr>
        <w:t>Introducción</w:t>
      </w:r>
    </w:p>
    <w:p w14:paraId="49F7FA18" w14:textId="77777777" w:rsidR="00F670BF" w:rsidRPr="00F670BF" w:rsidRDefault="00F670BF" w:rsidP="00F670BF">
      <w:pPr>
        <w:jc w:val="both"/>
      </w:pPr>
      <w:r w:rsidRPr="00F670BF">
        <w:t>La parada cardiorrespiratoria constituye una de las principales emergencias médicas dentro y fuera del ámbito hospitalario. La instauración precoz de maniobras de reanimación cardiopulmonar (RCP) y la rápida activación de la cadena de supervivencia aumentan significativamente las probabilidades de supervivencia y reducen el riesgo de secuelas neurológicas. Aunque la atención especializada corresponde al personal sanitario, los trabajadores no sanitarios pueden desempeñar un papel fundamental como primeros intervinientes hasta la llegada del equipo de emergencias.</w:t>
      </w:r>
    </w:p>
    <w:p w14:paraId="4942520C" w14:textId="77777777" w:rsidR="00F670BF" w:rsidRPr="00F670BF" w:rsidRDefault="00F670BF" w:rsidP="00F670BF">
      <w:pPr>
        <w:jc w:val="both"/>
      </w:pPr>
      <w:r w:rsidRPr="00F670BF">
        <w:t>En los centros hospitalarios, el personal no sanitario desarrolla su actividad en áreas como admisión, administración, seguridad, mantenimiento, limpieza, logística y atención al usuario, donde puede presenciar una parada cardiorrespiratoria en pacientes, visitantes o incluso compañeros de trabajo. Disponer de conocimientos básicos en soporte vital básico (SVB), reconocimiento precoz de la parada cardiaca y uso del desfibrilador externo automatizado (DEA) favorece una respuesta rápida y coordinada, mejorando la seguridad dentro del entorno hospitalario.</w:t>
      </w:r>
    </w:p>
    <w:p w14:paraId="10526ABB" w14:textId="77777777" w:rsidR="00F670BF" w:rsidRPr="00F670BF" w:rsidRDefault="00F670BF" w:rsidP="00F670BF">
      <w:pPr>
        <w:jc w:val="both"/>
      </w:pPr>
      <w:r w:rsidRPr="00F670BF">
        <w:t>La formación periódica en RCP constituye una estrategia esencial para mantener las competencias necesarias y aumentar la confianza de los trabajadores ante situaciones de emergencia. El objetivo de este estudio fue evaluar el impacto de un programa de formación en reanimación cardiopulmonar sobre los conocimientos del personal no sanitario de un hospital.</w:t>
      </w:r>
    </w:p>
    <w:p w14:paraId="44D54FA4" w14:textId="77777777" w:rsidR="00F670BF" w:rsidRPr="00F670BF" w:rsidRDefault="00F670BF" w:rsidP="00F670BF">
      <w:pPr>
        <w:jc w:val="both"/>
        <w:rPr>
          <w:b/>
        </w:rPr>
      </w:pPr>
      <w:r w:rsidRPr="00F670BF">
        <w:rPr>
          <w:b/>
        </w:rPr>
        <w:t>Material y métodos</w:t>
      </w:r>
    </w:p>
    <w:p w14:paraId="465D19E6" w14:textId="77777777" w:rsidR="00F670BF" w:rsidRPr="00F670BF" w:rsidRDefault="00F670BF" w:rsidP="00F670BF">
      <w:pPr>
        <w:jc w:val="both"/>
      </w:pPr>
      <w:r w:rsidRPr="00F670BF">
        <w:t>Se realizó un estudio observacional, descriptivo y transversal en un hospital general de segundo nivel. La población de estudio estuvo constituida por trabajadores no sanitarios pertenecientes a los servicios de admisión, administración, mantenimiento, limpieza, seguridad, logística, informática y atención al usuario.</w:t>
      </w:r>
    </w:p>
    <w:p w14:paraId="7CB765CA" w14:textId="77777777" w:rsidR="00F670BF" w:rsidRPr="00F670BF" w:rsidRDefault="00F670BF" w:rsidP="00F670BF">
      <w:pPr>
        <w:jc w:val="both"/>
      </w:pPr>
      <w:r w:rsidRPr="00F670BF">
        <w:t>La recogida de datos se llevó a cabo mediante un cuestionario anónimo y voluntario administrado tras la participación en un curso de soporte vital básico. Se registraron variables sociodemográficas, categoría profesional, antigüedad y experiencia previa en formación en RCP. Asimismo, se evaluaron conocimientos relacionados con el reconocimiento de la parada cardiorrespiratoria, la activación del sistema de emergencias, la secuencia de soporte vital básico, la calidad de las compresiones torácicas y el uso del desfibrilador externo automatizado.</w:t>
      </w:r>
    </w:p>
    <w:p w14:paraId="22C90366" w14:textId="77777777" w:rsidR="00F670BF" w:rsidRPr="00F670BF" w:rsidRDefault="00F670BF" w:rsidP="00F670BF">
      <w:pPr>
        <w:jc w:val="both"/>
      </w:pPr>
      <w:r w:rsidRPr="00F670BF">
        <w:lastRenderedPageBreak/>
        <w:t>Los datos fueron analizados mediante estadística descriptiva. Las variables cuantitativas se expresaron como media y desviación estándar, mientras que las cualitativas se presentaron mediante frecuencias y porcentajes.</w:t>
      </w:r>
    </w:p>
    <w:p w14:paraId="14943434" w14:textId="77777777" w:rsidR="00F670BF" w:rsidRPr="00F670BF" w:rsidRDefault="00F670BF" w:rsidP="00F670BF">
      <w:pPr>
        <w:jc w:val="both"/>
        <w:rPr>
          <w:b/>
        </w:rPr>
      </w:pPr>
      <w:r w:rsidRPr="00F670BF">
        <w:rPr>
          <w:b/>
        </w:rPr>
        <w:t>Resultados</w:t>
      </w:r>
    </w:p>
    <w:p w14:paraId="14A361B2" w14:textId="77777777" w:rsidR="00F670BF" w:rsidRPr="00F670BF" w:rsidRDefault="00F670BF" w:rsidP="00F670BF">
      <w:pPr>
        <w:jc w:val="both"/>
      </w:pPr>
      <w:r w:rsidRPr="00F670BF">
        <w:t>Participaron 118 trabajadores, con una edad media de 44,6 ± 10,1 años y una antigüedad media de 12,9 años. El 60% fueron mujeres y el 40% hombres.</w:t>
      </w:r>
    </w:p>
    <w:p w14:paraId="5AE7A2FC" w14:textId="77777777" w:rsidR="00F670BF" w:rsidRPr="00F670BF" w:rsidRDefault="00F670BF" w:rsidP="00F670BF">
      <w:pPr>
        <w:jc w:val="both"/>
      </w:pPr>
      <w:r w:rsidRPr="00F670BF">
        <w:t>El 48% de los participantes había recibido formación previa en reanimación cardiopulmonar antes del curso. Tras la actividad formativa, el 93% identificó correctamente los signos de una parada cardiorrespiratoria y el 95% conocía la secuencia adecuada para activar el sistema de emergencias y comenzar las maniobras de soporte vital básico.</w:t>
      </w:r>
    </w:p>
    <w:p w14:paraId="036475AB" w14:textId="77777777" w:rsidR="00F670BF" w:rsidRPr="00F670BF" w:rsidRDefault="00F670BF" w:rsidP="00F670BF">
      <w:pPr>
        <w:jc w:val="both"/>
      </w:pPr>
      <w:r w:rsidRPr="00F670BF">
        <w:t>El 89% respondió correctamente a las preguntas relacionadas con la frecuencia y profundidad de las compresiones torácicas, mientras que el 87% manifestó conocer el funcionamiento básico del desfibrilador externo automatizado. Además, el 91% expresó sentirse más preparado para actuar ante una emergencia cardiaca en el entorno hospitalario.</w:t>
      </w:r>
    </w:p>
    <w:p w14:paraId="4002C59D" w14:textId="77777777" w:rsidR="00F670BF" w:rsidRPr="00F670BF" w:rsidRDefault="00F670BF" w:rsidP="00F670BF">
      <w:pPr>
        <w:jc w:val="both"/>
      </w:pPr>
      <w:r w:rsidRPr="00F670BF">
        <w:t>El 96% de los participantes consideró conveniente realizar cursos de actualización de forma periódica para mantener los conocimientos y las habilidades adquiridas.</w:t>
      </w:r>
    </w:p>
    <w:p w14:paraId="4563DD1E" w14:textId="77777777" w:rsidR="00F670BF" w:rsidRPr="00F670BF" w:rsidRDefault="00F670BF" w:rsidP="00F670BF">
      <w:pPr>
        <w:jc w:val="both"/>
        <w:rPr>
          <w:b/>
        </w:rPr>
      </w:pPr>
      <w:r w:rsidRPr="00F670BF">
        <w:rPr>
          <w:b/>
        </w:rPr>
        <w:t>Conclusiones</w:t>
      </w:r>
    </w:p>
    <w:p w14:paraId="2326B3DF" w14:textId="77777777" w:rsidR="00F670BF" w:rsidRPr="00F670BF" w:rsidRDefault="00F670BF" w:rsidP="00F670BF">
      <w:pPr>
        <w:jc w:val="both"/>
      </w:pPr>
      <w:r w:rsidRPr="00F670BF">
        <w:t>La formación en reanimación cardiopulmonar mejora el nivel de conocimientos y la confianza del personal no sanitario hospitalario para actuar ante una parada cardiorrespiratoria. La adquisición de competencias básicas en soporte vital básico y el conocimiento del uso del desfibrilador externo automatizado favorecen una respuesta inicial rápida y eficaz, contribuyendo a fortalecer la cadena de supervivencia dentro del hospital.</w:t>
      </w:r>
    </w:p>
    <w:p w14:paraId="1ECF420A" w14:textId="77777777" w:rsidR="00F670BF" w:rsidRPr="00F670BF" w:rsidRDefault="00F670BF" w:rsidP="00F670BF">
      <w:pPr>
        <w:jc w:val="both"/>
      </w:pPr>
      <w:r w:rsidRPr="00F670BF">
        <w:t>Los resultados respaldan la incorporación de programas formativos periódicos dirigidos al personal no sanitario como parte de las estrategias institucionales de seguridad. La actualización continuada de conocimientos y la realización de sesiones prácticas permiten mantener las competencias necesarias para responder adecuadamente a situaciones de emergencia, mejorando la seguridad de pacientes, visitantes y trabajadores.</w:t>
      </w:r>
    </w:p>
    <w:p w14:paraId="10252CD0" w14:textId="77777777" w:rsidR="00F670BF" w:rsidRPr="00F670BF" w:rsidRDefault="00F670BF" w:rsidP="00F670BF">
      <w:pPr>
        <w:jc w:val="both"/>
        <w:rPr>
          <w:b/>
        </w:rPr>
      </w:pPr>
      <w:r w:rsidRPr="00F670BF">
        <w:rPr>
          <w:b/>
        </w:rPr>
        <w:t>Bibliografía</w:t>
      </w:r>
    </w:p>
    <w:p w14:paraId="7D34DD5C" w14:textId="77777777" w:rsidR="00F670BF" w:rsidRPr="00F670BF" w:rsidRDefault="00F670BF" w:rsidP="00F670BF">
      <w:pPr>
        <w:numPr>
          <w:ilvl w:val="0"/>
          <w:numId w:val="62"/>
        </w:numPr>
        <w:jc w:val="both"/>
      </w:pPr>
      <w:r w:rsidRPr="00F670BF">
        <w:rPr>
          <w:lang w:val="en-GB"/>
        </w:rPr>
        <w:t xml:space="preserve">European Resuscitation Council. </w:t>
      </w:r>
      <w:r w:rsidRPr="00F670BF">
        <w:rPr>
          <w:i/>
          <w:lang w:val="en-GB"/>
        </w:rPr>
        <w:t>European Resuscitation Council Guidelines 2021 for Resuscitation</w:t>
      </w:r>
      <w:r w:rsidRPr="00F670BF">
        <w:rPr>
          <w:lang w:val="en-GB"/>
        </w:rPr>
        <w:t xml:space="preserve">. </w:t>
      </w:r>
      <w:proofErr w:type="spellStart"/>
      <w:r w:rsidRPr="00F670BF">
        <w:rPr>
          <w:i/>
        </w:rPr>
        <w:t>Resuscitation</w:t>
      </w:r>
      <w:proofErr w:type="spellEnd"/>
      <w:r w:rsidRPr="00F670BF">
        <w:t xml:space="preserve">. </w:t>
      </w:r>
      <w:proofErr w:type="gramStart"/>
      <w:r w:rsidRPr="00F670BF">
        <w:t>2021;161:1</w:t>
      </w:r>
      <w:proofErr w:type="gramEnd"/>
      <w:r w:rsidRPr="00F670BF">
        <w:t>-60.</w:t>
      </w:r>
    </w:p>
    <w:p w14:paraId="701CFC4B" w14:textId="77777777" w:rsidR="00F670BF" w:rsidRPr="00F670BF" w:rsidRDefault="00F670BF" w:rsidP="00F670BF">
      <w:pPr>
        <w:numPr>
          <w:ilvl w:val="0"/>
          <w:numId w:val="62"/>
        </w:numPr>
        <w:jc w:val="both"/>
      </w:pPr>
      <w:r w:rsidRPr="00F670BF">
        <w:rPr>
          <w:lang w:val="en-GB"/>
        </w:rPr>
        <w:lastRenderedPageBreak/>
        <w:t xml:space="preserve">American Heart Association. </w:t>
      </w:r>
      <w:r w:rsidRPr="00F670BF">
        <w:rPr>
          <w:i/>
          <w:lang w:val="en-GB"/>
        </w:rPr>
        <w:t>2020 American Heart Association Guidelines for Cardiopulmonary Resuscitation and Emergency Cardiovascular Care</w:t>
      </w:r>
      <w:r w:rsidRPr="00F670BF">
        <w:rPr>
          <w:lang w:val="en-GB"/>
        </w:rPr>
        <w:t xml:space="preserve">. </w:t>
      </w:r>
      <w:proofErr w:type="spellStart"/>
      <w:r w:rsidRPr="00F670BF">
        <w:rPr>
          <w:i/>
        </w:rPr>
        <w:t>Circulation</w:t>
      </w:r>
      <w:proofErr w:type="spellEnd"/>
      <w:r w:rsidRPr="00F670BF">
        <w:t xml:space="preserve">. 2020;142(16 </w:t>
      </w:r>
      <w:proofErr w:type="spellStart"/>
      <w:r w:rsidRPr="00F670BF">
        <w:t>Suppl</w:t>
      </w:r>
      <w:proofErr w:type="spellEnd"/>
      <w:r w:rsidRPr="00F670BF">
        <w:t xml:space="preserve"> 2).</w:t>
      </w:r>
    </w:p>
    <w:p w14:paraId="2307BC6A" w14:textId="77777777" w:rsidR="00F670BF" w:rsidRPr="00F670BF" w:rsidRDefault="00F670BF" w:rsidP="00F670BF">
      <w:pPr>
        <w:numPr>
          <w:ilvl w:val="0"/>
          <w:numId w:val="62"/>
        </w:numPr>
        <w:jc w:val="both"/>
      </w:pPr>
      <w:r w:rsidRPr="00F670BF">
        <w:t xml:space="preserve">Consejo Español de Resucitación Cardiopulmonar. </w:t>
      </w:r>
      <w:r w:rsidRPr="00F670BF">
        <w:rPr>
          <w:i/>
        </w:rPr>
        <w:t>Recomendaciones para la enseñanza del soporte vital básico y uso del DEA</w:t>
      </w:r>
      <w:r w:rsidRPr="00F670BF">
        <w:t>. Madrid: CERCP.</w:t>
      </w:r>
    </w:p>
    <w:p w14:paraId="7AD3E906" w14:textId="77777777" w:rsidR="00F670BF" w:rsidRPr="00F670BF" w:rsidRDefault="00F670BF" w:rsidP="00F670BF">
      <w:pPr>
        <w:numPr>
          <w:ilvl w:val="0"/>
          <w:numId w:val="62"/>
        </w:numPr>
        <w:jc w:val="both"/>
      </w:pPr>
      <w:r w:rsidRPr="00F670BF">
        <w:rPr>
          <w:lang w:val="en-GB"/>
        </w:rPr>
        <w:t xml:space="preserve">International Liaison Committee on Resuscitation. </w:t>
      </w:r>
      <w:r w:rsidRPr="00F670BF">
        <w:rPr>
          <w:i/>
          <w:lang w:val="en-GB"/>
        </w:rPr>
        <w:t xml:space="preserve">International Consensus on Cardiopulmonary Resuscitation and Emergency Cardiovascular Care Science </w:t>
      </w:r>
      <w:proofErr w:type="gramStart"/>
      <w:r w:rsidRPr="00F670BF">
        <w:rPr>
          <w:i/>
          <w:lang w:val="en-GB"/>
        </w:rPr>
        <w:t>With</w:t>
      </w:r>
      <w:proofErr w:type="gramEnd"/>
      <w:r w:rsidRPr="00F670BF">
        <w:rPr>
          <w:i/>
          <w:lang w:val="en-GB"/>
        </w:rPr>
        <w:t xml:space="preserve"> Treatment Recommendations</w:t>
      </w:r>
      <w:r w:rsidRPr="00F670BF">
        <w:rPr>
          <w:lang w:val="en-GB"/>
        </w:rPr>
        <w:t xml:space="preserve">. </w:t>
      </w:r>
      <w:r w:rsidRPr="00F670BF">
        <w:t>2020.</w:t>
      </w:r>
    </w:p>
    <w:p w14:paraId="2E9F8610" w14:textId="77777777" w:rsidR="00F670BF" w:rsidRPr="00F670BF" w:rsidRDefault="00F670BF" w:rsidP="00F670BF">
      <w:pPr>
        <w:numPr>
          <w:ilvl w:val="0"/>
          <w:numId w:val="62"/>
        </w:numPr>
        <w:jc w:val="both"/>
        <w:rPr>
          <w:lang w:val="en-GB"/>
        </w:rPr>
      </w:pPr>
      <w:r w:rsidRPr="00F670BF">
        <w:rPr>
          <w:lang w:val="en-GB"/>
        </w:rPr>
        <w:t xml:space="preserve">World Health Organization. </w:t>
      </w:r>
      <w:r w:rsidRPr="00F670BF">
        <w:rPr>
          <w:i/>
          <w:lang w:val="en-GB"/>
        </w:rPr>
        <w:t xml:space="preserve">Emergency care systems for universal health coverage: </w:t>
      </w:r>
    </w:p>
    <w:p w14:paraId="38E6E975" w14:textId="77777777" w:rsidR="00F670BF" w:rsidRPr="00F670BF" w:rsidRDefault="00F670BF" w:rsidP="00F670BF">
      <w:pPr>
        <w:jc w:val="both"/>
      </w:pPr>
      <w:proofErr w:type="spellStart"/>
      <w:r w:rsidRPr="00F670BF">
        <w:rPr>
          <w:i/>
        </w:rPr>
        <w:t>framework</w:t>
      </w:r>
      <w:proofErr w:type="spellEnd"/>
      <w:r w:rsidRPr="00F670BF">
        <w:t>. Ginebra: Organización Mundial de la Salud; 2019.</w:t>
      </w:r>
    </w:p>
    <w:p w14:paraId="65F65D41" w14:textId="77777777" w:rsidR="000E46B3" w:rsidRDefault="000E46B3" w:rsidP="000E46B3">
      <w:pPr>
        <w:jc w:val="both"/>
      </w:pPr>
    </w:p>
    <w:p w14:paraId="4C63258A" w14:textId="77777777" w:rsidR="00F670BF" w:rsidRDefault="00F670BF" w:rsidP="000E46B3">
      <w:pPr>
        <w:jc w:val="both"/>
      </w:pPr>
    </w:p>
    <w:p w14:paraId="39E63F5C" w14:textId="77777777" w:rsidR="00F670BF" w:rsidRDefault="00F670BF" w:rsidP="000E46B3">
      <w:pPr>
        <w:jc w:val="both"/>
      </w:pPr>
    </w:p>
    <w:p w14:paraId="59D37A6F" w14:textId="77777777" w:rsidR="00F670BF" w:rsidRDefault="00F670BF" w:rsidP="000E46B3">
      <w:pPr>
        <w:jc w:val="both"/>
      </w:pPr>
    </w:p>
    <w:p w14:paraId="06EE6929" w14:textId="77777777" w:rsidR="00F670BF" w:rsidRDefault="00F670BF" w:rsidP="000E46B3">
      <w:pPr>
        <w:jc w:val="both"/>
      </w:pPr>
    </w:p>
    <w:p w14:paraId="0A6543EB" w14:textId="77777777" w:rsidR="00F670BF" w:rsidRDefault="00F670BF" w:rsidP="000E46B3">
      <w:pPr>
        <w:jc w:val="both"/>
      </w:pPr>
    </w:p>
    <w:p w14:paraId="01302BAA" w14:textId="77777777" w:rsidR="00F670BF" w:rsidRDefault="00F670BF" w:rsidP="000E46B3">
      <w:pPr>
        <w:jc w:val="both"/>
      </w:pPr>
    </w:p>
    <w:p w14:paraId="380A5643" w14:textId="77777777" w:rsidR="00F670BF" w:rsidRDefault="00F670BF" w:rsidP="000E46B3">
      <w:pPr>
        <w:jc w:val="both"/>
      </w:pPr>
    </w:p>
    <w:p w14:paraId="21F3B637" w14:textId="77777777" w:rsidR="00F670BF" w:rsidRDefault="00F670BF" w:rsidP="000E46B3">
      <w:pPr>
        <w:jc w:val="both"/>
      </w:pPr>
    </w:p>
    <w:p w14:paraId="6E404146" w14:textId="77777777" w:rsidR="00F670BF" w:rsidRDefault="00F670BF" w:rsidP="000E46B3">
      <w:pPr>
        <w:jc w:val="both"/>
      </w:pPr>
    </w:p>
    <w:p w14:paraId="6F46C39D" w14:textId="77777777" w:rsidR="00F670BF" w:rsidRDefault="00F670BF" w:rsidP="000E46B3">
      <w:pPr>
        <w:jc w:val="both"/>
      </w:pPr>
    </w:p>
    <w:p w14:paraId="794AA59A" w14:textId="77777777" w:rsidR="00F670BF" w:rsidRDefault="00F670BF" w:rsidP="000E46B3">
      <w:pPr>
        <w:jc w:val="both"/>
      </w:pPr>
    </w:p>
    <w:p w14:paraId="42C38973" w14:textId="77777777" w:rsidR="00F670BF" w:rsidRDefault="00F670BF" w:rsidP="000E46B3">
      <w:pPr>
        <w:jc w:val="both"/>
      </w:pPr>
    </w:p>
    <w:p w14:paraId="68D3687A" w14:textId="77777777" w:rsidR="00F670BF" w:rsidRDefault="00F670BF" w:rsidP="000E46B3">
      <w:pPr>
        <w:jc w:val="both"/>
      </w:pPr>
    </w:p>
    <w:p w14:paraId="10AE3BFD" w14:textId="77777777" w:rsidR="00F670BF" w:rsidRDefault="00F670BF" w:rsidP="000E46B3">
      <w:pPr>
        <w:jc w:val="both"/>
      </w:pPr>
    </w:p>
    <w:p w14:paraId="40951336" w14:textId="77777777" w:rsidR="00F670BF" w:rsidRDefault="00F670BF" w:rsidP="000E46B3">
      <w:pPr>
        <w:jc w:val="both"/>
      </w:pPr>
    </w:p>
    <w:p w14:paraId="008F9B4A" w14:textId="77777777" w:rsidR="00F670BF" w:rsidRDefault="00F670BF" w:rsidP="000E46B3">
      <w:pPr>
        <w:jc w:val="both"/>
      </w:pPr>
    </w:p>
    <w:p w14:paraId="15C551C7" w14:textId="77777777" w:rsidR="00F670BF" w:rsidRDefault="00F670BF" w:rsidP="000E46B3">
      <w:pPr>
        <w:jc w:val="both"/>
      </w:pPr>
    </w:p>
    <w:p w14:paraId="68566980" w14:textId="77777777" w:rsidR="00F6535E" w:rsidRPr="00F6535E" w:rsidRDefault="00F6535E" w:rsidP="00F6535E">
      <w:pPr>
        <w:jc w:val="both"/>
      </w:pPr>
      <w:r w:rsidRPr="00F6535E">
        <w:rPr>
          <w:b/>
        </w:rPr>
        <w:lastRenderedPageBreak/>
        <w:t>NIVEL DE FORMACIÓN DEL PERSONAL NO SANITARIO SOBRE ACOSO SEXUAL Y POR RAZÓN DE SEXO EN EL ÁMBITO HOSPITALARIO</w:t>
      </w:r>
    </w:p>
    <w:p w14:paraId="561A308F" w14:textId="77777777" w:rsidR="00F6535E" w:rsidRPr="00F6535E" w:rsidRDefault="00F6535E" w:rsidP="00F6535E">
      <w:pPr>
        <w:jc w:val="both"/>
        <w:rPr>
          <w:b/>
        </w:rPr>
      </w:pPr>
      <w:r w:rsidRPr="00F6535E">
        <w:rPr>
          <w:b/>
        </w:rPr>
        <w:t>Introducción</w:t>
      </w:r>
    </w:p>
    <w:p w14:paraId="45C5CEB7" w14:textId="77777777" w:rsidR="00F6535E" w:rsidRPr="00F6535E" w:rsidRDefault="00F6535E" w:rsidP="00F6535E">
      <w:pPr>
        <w:jc w:val="both"/>
      </w:pPr>
      <w:r w:rsidRPr="00F6535E">
        <w:t>El acoso sexual y el acoso por razón de sexo constituyen formas de violencia en el entorno laboral que vulneran los derechos fundamentales de las personas, afectan a su dignidad y pueden tener importantes repercusiones sobre la salud física y psicológica, el clima laboral y el funcionamiento de las organizaciones. Los centros hospitalarios, por la diversidad de categorías profesionales y la interacción constante entre trabajadores, pacientes y familiares, no son ajenos a este tipo de situaciones, lo que hace imprescindible la implantación de medidas preventivas y de actuación.</w:t>
      </w:r>
    </w:p>
    <w:p w14:paraId="50982A7B" w14:textId="77777777" w:rsidR="00F6535E" w:rsidRPr="00F6535E" w:rsidRDefault="00F6535E" w:rsidP="00F6535E">
      <w:pPr>
        <w:jc w:val="both"/>
      </w:pPr>
      <w:r w:rsidRPr="00F6535E">
        <w:t>El personal no sanitario desempeña funciones esenciales en áreas como administración, admisión, atención al usuario, seguridad, mantenimiento, limpieza, logística e informática. Aunque su actividad no está directamente relacionada con la asistencia clínica, estos profesionales deben conocer la normativa vigente, los protocolos institucionales y los procedimientos de actuación frente a posibles situaciones de acoso sexual y por razón de sexo, tanto si son víctimas como si presencian o reciben información sobre este tipo de conductas.</w:t>
      </w:r>
    </w:p>
    <w:p w14:paraId="78A28F04" w14:textId="77777777" w:rsidR="00F6535E" w:rsidRPr="00F6535E" w:rsidRDefault="00F6535E" w:rsidP="00F6535E">
      <w:pPr>
        <w:jc w:val="both"/>
      </w:pPr>
      <w:r w:rsidRPr="00F6535E">
        <w:t>La formación continuada constituye una herramienta clave para sensibilizar a los trabajadores, favorecer la detección precoz de comportamientos inadecuados y promover una cultura organizacional basada en el respeto, la igualdad de oportunidades y la tolerancia cero frente al acoso. El objetivo de este estudio fue evaluar el nivel de formación del personal no sanitario sobre acoso sexual y por razón de sexo en un hospital e identificar las principales necesidades formativas.</w:t>
      </w:r>
    </w:p>
    <w:p w14:paraId="0F558098" w14:textId="77777777" w:rsidR="00F6535E" w:rsidRPr="00F6535E" w:rsidRDefault="00F6535E" w:rsidP="00F6535E">
      <w:pPr>
        <w:jc w:val="both"/>
        <w:rPr>
          <w:b/>
        </w:rPr>
      </w:pPr>
      <w:r w:rsidRPr="00F6535E">
        <w:rPr>
          <w:b/>
        </w:rPr>
        <w:t>Material y métodos</w:t>
      </w:r>
    </w:p>
    <w:p w14:paraId="5E330FAC" w14:textId="77777777" w:rsidR="00F6535E" w:rsidRPr="00F6535E" w:rsidRDefault="00F6535E" w:rsidP="00F6535E">
      <w:pPr>
        <w:jc w:val="both"/>
      </w:pPr>
      <w:r w:rsidRPr="00F6535E">
        <w:t>Se realizó un estudio observacional, descriptivo y transversal en un hospital general de segundo nivel. La población de estudio estuvo formada por trabajadores no sanitarios pertenecientes a los servicios de administración, admisión, atención al usuario, mantenimiento, limpieza, logística, informática y seguridad.</w:t>
      </w:r>
    </w:p>
    <w:p w14:paraId="67ED2C1F" w14:textId="77777777" w:rsidR="00F6535E" w:rsidRPr="00F6535E" w:rsidRDefault="00F6535E" w:rsidP="00F6535E">
      <w:pPr>
        <w:jc w:val="both"/>
      </w:pPr>
      <w:r w:rsidRPr="00F6535E">
        <w:t>La recogida de datos se realizó mediante un cuestionario anónimo y voluntario que incluyó variables sociodemográficas, categoría profesional, antigüedad y participación previa en actividades formativas relacionadas con igualdad y prevención del acoso. Asimismo, se evaluó el conocimiento de los conceptos de acoso sexual y acoso por razón de sexo, los protocolos internos de actuación, los canales de comunicación y denuncia y la percepción de la importancia de la formación en esta materia.</w:t>
      </w:r>
    </w:p>
    <w:p w14:paraId="10C29E05" w14:textId="77777777" w:rsidR="00F6535E" w:rsidRPr="00F6535E" w:rsidRDefault="00F6535E" w:rsidP="00F6535E">
      <w:pPr>
        <w:jc w:val="both"/>
      </w:pPr>
      <w:r w:rsidRPr="00F6535E">
        <w:lastRenderedPageBreak/>
        <w:t>Los datos fueron analizados mediante estadística descriptiva. Las variables cuantitativas se expresaron como media y desviación estándar, mientras que las cualitativas se presentaron mediante frecuencias y porcentajes.</w:t>
      </w:r>
    </w:p>
    <w:p w14:paraId="1534E9DB" w14:textId="77777777" w:rsidR="00F6535E" w:rsidRPr="00F6535E" w:rsidRDefault="00F6535E" w:rsidP="00F6535E">
      <w:pPr>
        <w:jc w:val="both"/>
        <w:rPr>
          <w:b/>
        </w:rPr>
      </w:pPr>
      <w:r w:rsidRPr="00F6535E">
        <w:rPr>
          <w:b/>
        </w:rPr>
        <w:t>Resultados</w:t>
      </w:r>
    </w:p>
    <w:p w14:paraId="29FC2757" w14:textId="77777777" w:rsidR="00F6535E" w:rsidRPr="00F6535E" w:rsidRDefault="00F6535E" w:rsidP="00F6535E">
      <w:pPr>
        <w:jc w:val="both"/>
      </w:pPr>
      <w:r w:rsidRPr="00F6535E">
        <w:t>Participaron 129 trabajadores, con una edad media de 45,3 ± 9,9 años y una antigüedad media de 13,6 años. El 61% fueron mujeres y el 39% hombres.</w:t>
      </w:r>
    </w:p>
    <w:p w14:paraId="497DF199" w14:textId="77777777" w:rsidR="00F6535E" w:rsidRPr="00F6535E" w:rsidRDefault="00F6535E" w:rsidP="00F6535E">
      <w:pPr>
        <w:jc w:val="both"/>
      </w:pPr>
      <w:r w:rsidRPr="00F6535E">
        <w:t>El 72% de los participantes manifestó haber recibido formación sobre igualdad y prevención del acoso durante los últimos tres años. Sin embargo, únicamente el 58% afirmó conocer con precisión las diferencias entre acoso sexual y acoso por razón de sexo, mientras que el 54% indicó conocer el protocolo específico implantado en el hospital.</w:t>
      </w:r>
    </w:p>
    <w:p w14:paraId="7FAA4EDF" w14:textId="77777777" w:rsidR="00F6535E" w:rsidRPr="00F6535E" w:rsidRDefault="00F6535E" w:rsidP="00F6535E">
      <w:pPr>
        <w:jc w:val="both"/>
      </w:pPr>
      <w:r w:rsidRPr="00F6535E">
        <w:t>El 83% consideró que la formación recibida había incrementado su capacidad para identificar conductas inadecuadas y el 88% señaló que este tipo de actividades favorecía un ambiente laboral más respetuoso. No obstante, el 31% expresó dudas sobre el procedimiento de comunicación de una posible situación de acoso y el 27% manifestó desconocer los recursos de apoyo disponibles para las personas afectadas.</w:t>
      </w:r>
    </w:p>
    <w:p w14:paraId="43A0CE7A" w14:textId="77777777" w:rsidR="00F6535E" w:rsidRPr="00F6535E" w:rsidRDefault="00F6535E" w:rsidP="00F6535E">
      <w:pPr>
        <w:jc w:val="both"/>
      </w:pPr>
      <w:r w:rsidRPr="00F6535E">
        <w:t>Asimismo, el 94% de los trabajadores consideró necesario realizar actividades formativas periódicas y actualizar los conocimientos sobre la normativa y los procedimientos internos de actuación.</w:t>
      </w:r>
    </w:p>
    <w:p w14:paraId="0B1DF5C4" w14:textId="77777777" w:rsidR="00F6535E" w:rsidRPr="00F6535E" w:rsidRDefault="00F6535E" w:rsidP="00F6535E">
      <w:pPr>
        <w:jc w:val="both"/>
        <w:rPr>
          <w:b/>
        </w:rPr>
      </w:pPr>
      <w:r w:rsidRPr="00F6535E">
        <w:rPr>
          <w:b/>
        </w:rPr>
        <w:t>Conclusiones</w:t>
      </w:r>
    </w:p>
    <w:p w14:paraId="176A12B5" w14:textId="77777777" w:rsidR="00F6535E" w:rsidRPr="00F6535E" w:rsidRDefault="00F6535E" w:rsidP="00F6535E">
      <w:pPr>
        <w:jc w:val="both"/>
      </w:pPr>
      <w:r w:rsidRPr="00F6535E">
        <w:t>El nivel de formación del personal no sanitario sobre acoso sexual y por razón de sexo fue adecuado en términos generales, aunque persisten áreas de mejora relacionadas con el conocimiento de los protocolos institucionales y de los mecanismos de comunicación y apoyo. La formación continuada constituye una herramienta esencial para prevenir estas conductas y promover entornos laborales seguros, igualitarios y libres de discriminación.</w:t>
      </w:r>
    </w:p>
    <w:p w14:paraId="5B5C6D90" w14:textId="77777777" w:rsidR="00F6535E" w:rsidRPr="00F6535E" w:rsidRDefault="00F6535E" w:rsidP="00F6535E">
      <w:pPr>
        <w:jc w:val="both"/>
      </w:pPr>
      <w:r w:rsidRPr="00F6535E">
        <w:t>Los resultados ponen de manifiesto la necesidad de reforzar las acciones de sensibilización, facilitar el acceso a los protocolos de actuación y fomentar una cultura organizacional basada en el respeto mutuo y la igualdad de oportunidades. La implicación activa de todos los profesionales contribuirá a fortalecer la prevención del acoso y a mejorar el bienestar laboral dentro de los centros hospitalarios.</w:t>
      </w:r>
    </w:p>
    <w:p w14:paraId="03E415EB" w14:textId="77777777" w:rsidR="00F6535E" w:rsidRPr="00F6535E" w:rsidRDefault="00F6535E" w:rsidP="00F6535E">
      <w:pPr>
        <w:jc w:val="both"/>
        <w:rPr>
          <w:b/>
        </w:rPr>
      </w:pPr>
      <w:r w:rsidRPr="00F6535E">
        <w:rPr>
          <w:b/>
        </w:rPr>
        <w:t>Bibliografía</w:t>
      </w:r>
    </w:p>
    <w:p w14:paraId="60297B5C" w14:textId="77777777" w:rsidR="00F6535E" w:rsidRPr="00F6535E" w:rsidRDefault="00F6535E" w:rsidP="00F6535E">
      <w:pPr>
        <w:numPr>
          <w:ilvl w:val="0"/>
          <w:numId w:val="63"/>
        </w:numPr>
        <w:jc w:val="both"/>
      </w:pPr>
      <w:r w:rsidRPr="00F6535E">
        <w:t xml:space="preserve">Ley Orgánica 3/2007. Boletín Oficial del Estado. </w:t>
      </w:r>
      <w:proofErr w:type="gramStart"/>
      <w:r w:rsidRPr="00F6535E">
        <w:t>2007;71:12611</w:t>
      </w:r>
      <w:proofErr w:type="gramEnd"/>
      <w:r w:rsidRPr="00F6535E">
        <w:t>-12645.</w:t>
      </w:r>
    </w:p>
    <w:p w14:paraId="326E71F5" w14:textId="77777777" w:rsidR="00F6535E" w:rsidRPr="00F6535E" w:rsidRDefault="00F6535E" w:rsidP="00F6535E">
      <w:pPr>
        <w:numPr>
          <w:ilvl w:val="0"/>
          <w:numId w:val="63"/>
        </w:numPr>
        <w:jc w:val="both"/>
      </w:pPr>
      <w:r w:rsidRPr="00F6535E">
        <w:lastRenderedPageBreak/>
        <w:t xml:space="preserve">Instituto Nacional de Seguridad y Salud en el Trabajo. </w:t>
      </w:r>
      <w:r w:rsidRPr="00F6535E">
        <w:rPr>
          <w:i/>
        </w:rPr>
        <w:t>Acoso sexual y acoso por razón de sexo en el trabajo: criterios preventivos</w:t>
      </w:r>
      <w:r w:rsidRPr="00F6535E">
        <w:t>. Madrid: INSST.</w:t>
      </w:r>
    </w:p>
    <w:p w14:paraId="52168F4E" w14:textId="77777777" w:rsidR="00F6535E" w:rsidRPr="00F6535E" w:rsidRDefault="00F6535E" w:rsidP="00F6535E">
      <w:pPr>
        <w:numPr>
          <w:ilvl w:val="0"/>
          <w:numId w:val="63"/>
        </w:numPr>
        <w:jc w:val="both"/>
      </w:pPr>
      <w:r w:rsidRPr="00F6535E">
        <w:t xml:space="preserve">Organización Internacional del Trabajo. </w:t>
      </w:r>
      <w:proofErr w:type="spellStart"/>
      <w:r w:rsidRPr="00F6535E">
        <w:rPr>
          <w:i/>
        </w:rPr>
        <w:t>Violence</w:t>
      </w:r>
      <w:proofErr w:type="spellEnd"/>
      <w:r w:rsidRPr="00F6535E">
        <w:rPr>
          <w:i/>
        </w:rPr>
        <w:t xml:space="preserve"> and </w:t>
      </w:r>
      <w:proofErr w:type="spellStart"/>
      <w:r w:rsidRPr="00F6535E">
        <w:rPr>
          <w:i/>
        </w:rPr>
        <w:t>Harassment</w:t>
      </w:r>
      <w:proofErr w:type="spellEnd"/>
      <w:r w:rsidRPr="00F6535E">
        <w:rPr>
          <w:i/>
        </w:rPr>
        <w:t xml:space="preserve"> </w:t>
      </w:r>
      <w:proofErr w:type="spellStart"/>
      <w:r w:rsidRPr="00F6535E">
        <w:rPr>
          <w:i/>
        </w:rPr>
        <w:t>Convention</w:t>
      </w:r>
      <w:proofErr w:type="spellEnd"/>
      <w:r w:rsidRPr="00F6535E">
        <w:rPr>
          <w:i/>
        </w:rPr>
        <w:t>, 2019 (No. 190)</w:t>
      </w:r>
      <w:r w:rsidRPr="00F6535E">
        <w:t>. Ginebra: OIT; 2019.</w:t>
      </w:r>
    </w:p>
    <w:p w14:paraId="4684923B" w14:textId="77777777" w:rsidR="00F6535E" w:rsidRPr="00F6535E" w:rsidRDefault="00F6535E" w:rsidP="00F6535E">
      <w:pPr>
        <w:numPr>
          <w:ilvl w:val="0"/>
          <w:numId w:val="63"/>
        </w:numPr>
        <w:jc w:val="both"/>
      </w:pPr>
      <w:r w:rsidRPr="00F6535E">
        <w:t xml:space="preserve">Instituto de las Mujeres. </w:t>
      </w:r>
      <w:r w:rsidRPr="00F6535E">
        <w:rPr>
          <w:i/>
        </w:rPr>
        <w:t>Protocolo para la prevención y actuación frente al acoso sexual y al acoso por razón de sexo en el ámbito laboral</w:t>
      </w:r>
      <w:r w:rsidRPr="00F6535E">
        <w:t>. Madrid: Ministerio de Igualdad.</w:t>
      </w:r>
    </w:p>
    <w:p w14:paraId="66EAB4AD" w14:textId="77777777" w:rsidR="00F6535E" w:rsidRPr="00F6535E" w:rsidRDefault="00F6535E" w:rsidP="00F6535E">
      <w:pPr>
        <w:numPr>
          <w:ilvl w:val="0"/>
          <w:numId w:val="63"/>
        </w:numPr>
        <w:jc w:val="both"/>
      </w:pPr>
      <w:r w:rsidRPr="00F6535E">
        <w:t xml:space="preserve">Agencia Europea para la Seguridad y la Salud en el Trabajo. </w:t>
      </w:r>
      <w:r w:rsidRPr="00F6535E">
        <w:rPr>
          <w:i/>
          <w:lang w:val="en-GB"/>
        </w:rPr>
        <w:t>Management of psychosocial risks and prevention of workplace harassment</w:t>
      </w:r>
      <w:r w:rsidRPr="00F6535E">
        <w:rPr>
          <w:lang w:val="en-GB"/>
        </w:rPr>
        <w:t xml:space="preserve">. </w:t>
      </w:r>
      <w:r w:rsidRPr="00F6535E">
        <w:t>Luxemburgo: Oficina de Publicaciones de la Unión Europea; 2021.</w:t>
      </w:r>
    </w:p>
    <w:p w14:paraId="218E2075" w14:textId="77777777" w:rsidR="00F670BF" w:rsidRDefault="00F670BF" w:rsidP="000E46B3">
      <w:pPr>
        <w:jc w:val="both"/>
      </w:pPr>
    </w:p>
    <w:p w14:paraId="6210D222" w14:textId="77777777" w:rsidR="00F6535E" w:rsidRDefault="00F6535E" w:rsidP="000E46B3">
      <w:pPr>
        <w:jc w:val="both"/>
      </w:pPr>
    </w:p>
    <w:p w14:paraId="35AF53D9" w14:textId="77777777" w:rsidR="00F6535E" w:rsidRDefault="00F6535E" w:rsidP="000E46B3">
      <w:pPr>
        <w:jc w:val="both"/>
      </w:pPr>
    </w:p>
    <w:p w14:paraId="3ADB2547" w14:textId="77777777" w:rsidR="00F6535E" w:rsidRDefault="00F6535E" w:rsidP="000E46B3">
      <w:pPr>
        <w:jc w:val="both"/>
      </w:pPr>
    </w:p>
    <w:p w14:paraId="09439E0C" w14:textId="77777777" w:rsidR="00F6535E" w:rsidRDefault="00F6535E" w:rsidP="000E46B3">
      <w:pPr>
        <w:jc w:val="both"/>
      </w:pPr>
    </w:p>
    <w:p w14:paraId="2955DC6F" w14:textId="77777777" w:rsidR="00F6535E" w:rsidRDefault="00F6535E" w:rsidP="000E46B3">
      <w:pPr>
        <w:jc w:val="both"/>
      </w:pPr>
    </w:p>
    <w:p w14:paraId="4F019336" w14:textId="77777777" w:rsidR="00F6535E" w:rsidRDefault="00F6535E" w:rsidP="000E46B3">
      <w:pPr>
        <w:jc w:val="both"/>
      </w:pPr>
    </w:p>
    <w:p w14:paraId="6CC4AC5B" w14:textId="77777777" w:rsidR="00F6535E" w:rsidRDefault="00F6535E" w:rsidP="000E46B3">
      <w:pPr>
        <w:jc w:val="both"/>
      </w:pPr>
    </w:p>
    <w:p w14:paraId="50807729" w14:textId="77777777" w:rsidR="00F6535E" w:rsidRDefault="00F6535E" w:rsidP="000E46B3">
      <w:pPr>
        <w:jc w:val="both"/>
      </w:pPr>
    </w:p>
    <w:p w14:paraId="17B55BE5" w14:textId="77777777" w:rsidR="00F6535E" w:rsidRDefault="00F6535E" w:rsidP="000E46B3">
      <w:pPr>
        <w:jc w:val="both"/>
      </w:pPr>
    </w:p>
    <w:p w14:paraId="5EB67E26" w14:textId="77777777" w:rsidR="00F6535E" w:rsidRDefault="00F6535E" w:rsidP="000E46B3">
      <w:pPr>
        <w:jc w:val="both"/>
      </w:pPr>
    </w:p>
    <w:p w14:paraId="50C3BFB6" w14:textId="77777777" w:rsidR="00F6535E" w:rsidRDefault="00F6535E" w:rsidP="000E46B3">
      <w:pPr>
        <w:jc w:val="both"/>
      </w:pPr>
    </w:p>
    <w:p w14:paraId="5A7A950A" w14:textId="77777777" w:rsidR="00F6535E" w:rsidRDefault="00F6535E" w:rsidP="000E46B3">
      <w:pPr>
        <w:jc w:val="both"/>
      </w:pPr>
    </w:p>
    <w:p w14:paraId="472FC10E" w14:textId="77777777" w:rsidR="00F6535E" w:rsidRDefault="00F6535E" w:rsidP="000E46B3">
      <w:pPr>
        <w:jc w:val="both"/>
      </w:pPr>
    </w:p>
    <w:p w14:paraId="4F294A61" w14:textId="77777777" w:rsidR="00F6535E" w:rsidRDefault="00F6535E" w:rsidP="000E46B3">
      <w:pPr>
        <w:jc w:val="both"/>
      </w:pPr>
    </w:p>
    <w:p w14:paraId="5C4952E1" w14:textId="77777777" w:rsidR="00F6535E" w:rsidRDefault="00F6535E" w:rsidP="000E46B3">
      <w:pPr>
        <w:jc w:val="both"/>
      </w:pPr>
    </w:p>
    <w:p w14:paraId="2A0B0A4D" w14:textId="77777777" w:rsidR="00F6535E" w:rsidRDefault="00F6535E" w:rsidP="000E46B3">
      <w:pPr>
        <w:jc w:val="both"/>
      </w:pPr>
    </w:p>
    <w:p w14:paraId="2E31ABFB" w14:textId="77777777" w:rsidR="00F6535E" w:rsidRDefault="00F6535E" w:rsidP="000E46B3">
      <w:pPr>
        <w:jc w:val="both"/>
      </w:pPr>
    </w:p>
    <w:p w14:paraId="7D8ACA06" w14:textId="77777777" w:rsidR="00F6535E" w:rsidRDefault="00F6535E" w:rsidP="000E46B3">
      <w:pPr>
        <w:jc w:val="both"/>
      </w:pPr>
    </w:p>
    <w:p w14:paraId="3CF0FA29" w14:textId="77777777" w:rsidR="00F6535E" w:rsidRDefault="00F6535E" w:rsidP="000E46B3">
      <w:pPr>
        <w:jc w:val="both"/>
      </w:pPr>
    </w:p>
    <w:p w14:paraId="7041A52D" w14:textId="77777777" w:rsidR="00266F97" w:rsidRPr="00266F97" w:rsidRDefault="00266F97" w:rsidP="00266F97">
      <w:pPr>
        <w:jc w:val="both"/>
      </w:pPr>
      <w:r w:rsidRPr="00266F97">
        <w:rPr>
          <w:b/>
        </w:rPr>
        <w:lastRenderedPageBreak/>
        <w:t>Identificación precoz del estrés laboral: una estrategia preventiva para el personal sanitario y no sanitario</w:t>
      </w:r>
    </w:p>
    <w:p w14:paraId="216AB279" w14:textId="77777777" w:rsidR="00266F97" w:rsidRPr="00266F97" w:rsidRDefault="00266F97" w:rsidP="00266F97">
      <w:pPr>
        <w:jc w:val="both"/>
        <w:rPr>
          <w:b/>
        </w:rPr>
      </w:pPr>
      <w:r w:rsidRPr="00266F97">
        <w:rPr>
          <w:b/>
        </w:rPr>
        <w:t>Introducción</w:t>
      </w:r>
    </w:p>
    <w:p w14:paraId="154DA101" w14:textId="77777777" w:rsidR="00266F97" w:rsidRPr="00266F97" w:rsidRDefault="00266F97" w:rsidP="00266F97">
      <w:pPr>
        <w:jc w:val="both"/>
      </w:pPr>
      <w:r w:rsidRPr="00266F97">
        <w:t>El estrés laboral es una de las principales causas de deterioro de la salud física y psicológica de los trabajadores. Se produce cuando las demandas del entorno laboral superan, de forma temporal o mantenida, la capacidad de la persona para afrontarlas con los recursos disponibles. Aunque un cierto nivel de activación puede favorecer el rendimiento, la exposición continuada al estrés incrementa el riesgo de agotamiento, ansiedad, trastornos del sueño y disminución de la productividad.</w:t>
      </w:r>
    </w:p>
    <w:p w14:paraId="5E265D0E" w14:textId="77777777" w:rsidR="00266F97" w:rsidRPr="00266F97" w:rsidRDefault="00266F97" w:rsidP="00266F97">
      <w:pPr>
        <w:jc w:val="both"/>
      </w:pPr>
      <w:r w:rsidRPr="00266F97">
        <w:t>El personal sanitario y el no sanitario desarrollan su actividad en entornos dinámicos donde la presión asistencial, la carga administrativa, la atención al público, la necesidad de cumplir plazos y la gestión de imprevistos forman parte de la actividad diaria. Estas circunstancias hacen especialmente importante detectar de manera temprana los factores que pueden favorecer la aparición del estrés.</w:t>
      </w:r>
    </w:p>
    <w:p w14:paraId="00CCDD0C" w14:textId="77777777" w:rsidR="00266F97" w:rsidRPr="00266F97" w:rsidRDefault="00266F97" w:rsidP="00266F97">
      <w:pPr>
        <w:jc w:val="both"/>
      </w:pPr>
      <w:r w:rsidRPr="00266F97">
        <w:t>La identificación precoz de los riesgos psicosociales permite implantar medidas preventivas antes de que aparezcan consecuencias negativas para la salud de los trabajadores y para el funcionamiento de la organización.</w:t>
      </w:r>
    </w:p>
    <w:p w14:paraId="4E48CB9B" w14:textId="77777777" w:rsidR="00266F97" w:rsidRPr="00266F97" w:rsidRDefault="00266F97" w:rsidP="00266F97">
      <w:pPr>
        <w:jc w:val="both"/>
        <w:rPr>
          <w:b/>
        </w:rPr>
      </w:pPr>
      <w:r w:rsidRPr="00266F97">
        <w:rPr>
          <w:b/>
        </w:rPr>
        <w:t>Objetivo</w:t>
      </w:r>
    </w:p>
    <w:p w14:paraId="59B7E6A1" w14:textId="77777777" w:rsidR="00266F97" w:rsidRPr="00266F97" w:rsidRDefault="00266F97" w:rsidP="00266F97">
      <w:pPr>
        <w:jc w:val="both"/>
      </w:pPr>
      <w:r w:rsidRPr="00266F97">
        <w:t>Analizar la importancia de la detección precoz del estrés laboral y describir las principales estrategias preventivas dirigidas al personal sanitario y no sanitario.</w:t>
      </w:r>
    </w:p>
    <w:p w14:paraId="7F179450" w14:textId="77777777" w:rsidR="00266F97" w:rsidRPr="00266F97" w:rsidRDefault="00266F97" w:rsidP="00266F97">
      <w:pPr>
        <w:jc w:val="both"/>
        <w:rPr>
          <w:b/>
        </w:rPr>
      </w:pPr>
      <w:r w:rsidRPr="00266F97">
        <w:rPr>
          <w:b/>
        </w:rPr>
        <w:t>Material y método</w:t>
      </w:r>
    </w:p>
    <w:p w14:paraId="46A1BB7F" w14:textId="77777777" w:rsidR="00266F97" w:rsidRPr="00266F97" w:rsidRDefault="00266F97" w:rsidP="00266F97">
      <w:pPr>
        <w:jc w:val="both"/>
      </w:pPr>
      <w:r w:rsidRPr="00266F97">
        <w:t xml:space="preserve">Se realizó una revisión bibliográfica descriptiva mediante la consulta de artículos científicos, revisiones sistemáticas y documentos técnicos publicados entre 2016 y 2025. Se revisaron las bases de datos PubMed, </w:t>
      </w:r>
      <w:proofErr w:type="spellStart"/>
      <w:r w:rsidRPr="00266F97">
        <w:t>Scopus</w:t>
      </w:r>
      <w:proofErr w:type="spellEnd"/>
      <w:r w:rsidRPr="00266F97">
        <w:t xml:space="preserve"> y Google Scholar, además de publicaciones del Instituto Nacional de Seguridad y Salud en el Trabajo, la Organización Mundial de la Salud y la Agencia Europea para la Seguridad y la Salud en el Trabajo.</w:t>
      </w:r>
    </w:p>
    <w:p w14:paraId="45A2C97C" w14:textId="77777777" w:rsidR="00266F97" w:rsidRPr="00266F97" w:rsidRDefault="00266F97" w:rsidP="00266F97">
      <w:pPr>
        <w:jc w:val="both"/>
      </w:pPr>
      <w:r w:rsidRPr="00266F97">
        <w:t>Se seleccionaron estudios relacionados con factores psicosociales, evaluación del estrés laboral, promoción de la salud y prevención de riesgos psicosociales.</w:t>
      </w:r>
    </w:p>
    <w:p w14:paraId="1118656E" w14:textId="77777777" w:rsidR="00266F97" w:rsidRPr="00266F97" w:rsidRDefault="00266F97" w:rsidP="00266F97">
      <w:pPr>
        <w:jc w:val="both"/>
        <w:rPr>
          <w:b/>
        </w:rPr>
      </w:pPr>
      <w:r w:rsidRPr="00266F97">
        <w:rPr>
          <w:b/>
        </w:rPr>
        <w:t>Resultados</w:t>
      </w:r>
    </w:p>
    <w:p w14:paraId="6FF7D618" w14:textId="77777777" w:rsidR="00266F97" w:rsidRPr="00266F97" w:rsidRDefault="00266F97" w:rsidP="00266F97">
      <w:pPr>
        <w:jc w:val="both"/>
      </w:pPr>
      <w:r w:rsidRPr="00266F97">
        <w:t>La evidencia científica muestra que la identificación temprana de los factores estresores permite reducir el impacto del estrés laboral mediante intervenciones organizativas e individuales.</w:t>
      </w:r>
    </w:p>
    <w:p w14:paraId="11DD4C36" w14:textId="77777777" w:rsidR="00266F97" w:rsidRPr="00266F97" w:rsidRDefault="00266F97" w:rsidP="00266F97">
      <w:pPr>
        <w:jc w:val="both"/>
      </w:pPr>
      <w:r w:rsidRPr="00266F97">
        <w:lastRenderedPageBreak/>
        <w:t>Entre los factores más frecuentemente asociados al estrés destacan la sobrecarga de trabajo, la falta de control sobre las tareas, la ambigüedad de funciones, los cambios organizativos, la escasez de recursos y los conflictos interpersonales.</w:t>
      </w:r>
    </w:p>
    <w:p w14:paraId="71C15FE6" w14:textId="77777777" w:rsidR="00266F97" w:rsidRPr="00266F97" w:rsidRDefault="00266F97" w:rsidP="00266F97">
      <w:pPr>
        <w:jc w:val="both"/>
      </w:pPr>
      <w:r w:rsidRPr="00266F97">
        <w:t>En el personal sanitario, las elevadas demandas asistenciales, la toma de decisiones complejas y la exposición al sufrimiento humano pueden incrementar la carga emocional. En el personal no sanitario, la atención continuada al público, la acumulación de tareas administrativas, la presión por los tiempos de respuesta o la coordinación de diferentes procesos también pueden generar elevados niveles de estrés.</w:t>
      </w:r>
    </w:p>
    <w:p w14:paraId="2288E1CF" w14:textId="77777777" w:rsidR="00266F97" w:rsidRPr="00266F97" w:rsidRDefault="00266F97" w:rsidP="00266F97">
      <w:pPr>
        <w:jc w:val="both"/>
      </w:pPr>
      <w:r w:rsidRPr="00266F97">
        <w:t>Los estudios indican que las evaluaciones periódicas de riesgos psicosociales, la comunicación abierta entre trabajadores y responsables, la distribución equilibrada de las cargas de trabajo y la participación de los profesionales en la organización de las tareas contribuyen a disminuir los niveles de estrés.</w:t>
      </w:r>
    </w:p>
    <w:p w14:paraId="784B815C" w14:textId="77777777" w:rsidR="00266F97" w:rsidRPr="00266F97" w:rsidRDefault="00266F97" w:rsidP="00266F97">
      <w:pPr>
        <w:jc w:val="both"/>
      </w:pPr>
      <w:r w:rsidRPr="00266F97">
        <w:t>Asimismo, la promoción de pausas adecuadas, la formación en habilidades de afrontamiento, el apoyo social dentro de los equipos y la disponibilidad de recursos para el bienestar emocional favorecen una mayor capacidad de adaptación frente a las demandas laborales.</w:t>
      </w:r>
    </w:p>
    <w:p w14:paraId="03AEAB59" w14:textId="77777777" w:rsidR="00266F97" w:rsidRPr="00266F97" w:rsidRDefault="00266F97" w:rsidP="00266F97">
      <w:pPr>
        <w:jc w:val="both"/>
        <w:rPr>
          <w:b/>
        </w:rPr>
      </w:pPr>
      <w:r w:rsidRPr="00266F97">
        <w:rPr>
          <w:b/>
        </w:rPr>
        <w:t>Conclusiones</w:t>
      </w:r>
    </w:p>
    <w:p w14:paraId="5EF031CC" w14:textId="77777777" w:rsidR="00266F97" w:rsidRPr="00266F97" w:rsidRDefault="00266F97" w:rsidP="00266F97">
      <w:pPr>
        <w:jc w:val="both"/>
      </w:pPr>
      <w:r w:rsidRPr="00266F97">
        <w:t>La identificación precoz del estrés laboral constituye una herramienta preventiva esencial para proteger la salud del personal sanitario y no sanitario.</w:t>
      </w:r>
    </w:p>
    <w:p w14:paraId="3FB34F5A" w14:textId="77777777" w:rsidR="00266F97" w:rsidRPr="00266F97" w:rsidRDefault="00266F97" w:rsidP="00266F97">
      <w:pPr>
        <w:jc w:val="both"/>
      </w:pPr>
      <w:r w:rsidRPr="00266F97">
        <w:t>La evaluación continua de los factores psicosociales, junto con medidas organizativas orientadas a mejorar las condiciones de trabajo, permite reducir el riesgo de problemas de salud relacionados con el estrés y favorece un clima laboral más saludable.</w:t>
      </w:r>
    </w:p>
    <w:p w14:paraId="5CF80D48" w14:textId="77777777" w:rsidR="00266F97" w:rsidRPr="00266F97" w:rsidRDefault="00266F97" w:rsidP="00266F97">
      <w:pPr>
        <w:jc w:val="both"/>
      </w:pPr>
      <w:r w:rsidRPr="00266F97">
        <w:t>Las organizaciones que promueven el bienestar psicológico, la comunicación efectiva y la participación de los trabajadores fortalecen la resiliencia de los equipos y mejoran tanto la satisfacción profesional como la calidad de los servicios prestados.</w:t>
      </w:r>
    </w:p>
    <w:p w14:paraId="332257FA" w14:textId="77777777" w:rsidR="00266F97" w:rsidRPr="00266F97" w:rsidRDefault="00266F97" w:rsidP="00266F97">
      <w:pPr>
        <w:jc w:val="both"/>
        <w:rPr>
          <w:b/>
        </w:rPr>
      </w:pPr>
      <w:r w:rsidRPr="00266F97">
        <w:rPr>
          <w:b/>
        </w:rPr>
        <w:t>Bibliografía</w:t>
      </w:r>
    </w:p>
    <w:p w14:paraId="4795DCF9" w14:textId="77777777" w:rsidR="00266F97" w:rsidRPr="00266F97" w:rsidRDefault="00266F97" w:rsidP="00266F97">
      <w:pPr>
        <w:numPr>
          <w:ilvl w:val="0"/>
          <w:numId w:val="64"/>
        </w:numPr>
        <w:jc w:val="both"/>
      </w:pPr>
      <w:r w:rsidRPr="00266F97">
        <w:t>Organización Mundial de la Salud. (2022). *Mental Health at Work*.</w:t>
      </w:r>
    </w:p>
    <w:p w14:paraId="5B4B1D6A" w14:textId="77777777" w:rsidR="00266F97" w:rsidRPr="00266F97" w:rsidRDefault="00266F97" w:rsidP="00266F97">
      <w:pPr>
        <w:numPr>
          <w:ilvl w:val="0"/>
          <w:numId w:val="64"/>
        </w:numPr>
        <w:jc w:val="both"/>
      </w:pPr>
      <w:r w:rsidRPr="00266F97">
        <w:t>Instituto Nacional de Seguridad y Salud en el Trabajo. (2024). *Factores psicosociales y estrés laboral*.</w:t>
      </w:r>
    </w:p>
    <w:p w14:paraId="6BB446FE" w14:textId="77777777" w:rsidR="00266F97" w:rsidRPr="00266F97" w:rsidRDefault="00266F97" w:rsidP="00266F97">
      <w:pPr>
        <w:numPr>
          <w:ilvl w:val="0"/>
          <w:numId w:val="64"/>
        </w:numPr>
        <w:jc w:val="both"/>
        <w:rPr>
          <w:lang w:val="en-GB"/>
        </w:rPr>
      </w:pPr>
      <w:r w:rsidRPr="00266F97">
        <w:t xml:space="preserve">Agencia Europea para la Seguridad y la Salud en el Trabajo. </w:t>
      </w:r>
      <w:r w:rsidRPr="00266F97">
        <w:rPr>
          <w:lang w:val="en-GB"/>
        </w:rPr>
        <w:t>(2024). *Psychosocial Risks and Mental Health at Work*.</w:t>
      </w:r>
    </w:p>
    <w:p w14:paraId="7E147628" w14:textId="77777777" w:rsidR="00266F97" w:rsidRPr="00266F97" w:rsidRDefault="00266F97" w:rsidP="00266F97">
      <w:pPr>
        <w:numPr>
          <w:ilvl w:val="0"/>
          <w:numId w:val="64"/>
        </w:numPr>
        <w:jc w:val="both"/>
        <w:rPr>
          <w:lang w:val="en-GB"/>
        </w:rPr>
      </w:pPr>
      <w:r w:rsidRPr="00266F97">
        <w:rPr>
          <w:lang w:val="en-GB"/>
        </w:rPr>
        <w:lastRenderedPageBreak/>
        <w:t xml:space="preserve">Robert A. Karasek. (1979). Job Demands, Job Decision Latitude, and Mental Strain. </w:t>
      </w:r>
    </w:p>
    <w:p w14:paraId="7205CE58" w14:textId="77777777" w:rsidR="00266F97" w:rsidRPr="00266F97" w:rsidRDefault="00266F97" w:rsidP="00266F97">
      <w:pPr>
        <w:jc w:val="both"/>
      </w:pPr>
      <w:r w:rsidRPr="00266F97">
        <w:t xml:space="preserve">*Administrative </w:t>
      </w:r>
      <w:proofErr w:type="spellStart"/>
      <w:r w:rsidRPr="00266F97">
        <w:t>Science</w:t>
      </w:r>
      <w:proofErr w:type="spellEnd"/>
      <w:r w:rsidRPr="00266F97">
        <w:t xml:space="preserve"> </w:t>
      </w:r>
      <w:proofErr w:type="spellStart"/>
      <w:r w:rsidRPr="00266F97">
        <w:t>Quarterly</w:t>
      </w:r>
      <w:proofErr w:type="spellEnd"/>
      <w:r w:rsidRPr="00266F97">
        <w:t>*, 24(2), 285–308.</w:t>
      </w:r>
    </w:p>
    <w:p w14:paraId="63CA02DF" w14:textId="77777777" w:rsidR="00266F97" w:rsidRPr="00266F97" w:rsidRDefault="00266F97" w:rsidP="00266F97">
      <w:pPr>
        <w:numPr>
          <w:ilvl w:val="0"/>
          <w:numId w:val="64"/>
        </w:numPr>
        <w:jc w:val="both"/>
        <w:rPr>
          <w:lang w:val="en-GB"/>
        </w:rPr>
      </w:pPr>
      <w:r w:rsidRPr="00266F97">
        <w:rPr>
          <w:lang w:val="en-GB"/>
        </w:rPr>
        <w:t xml:space="preserve">Johannes Siegrist. (1996). Adverse Health Effects of High-Effort/Low-Reward Conditions. </w:t>
      </w:r>
    </w:p>
    <w:p w14:paraId="57DD1D6C" w14:textId="77777777" w:rsidR="00266F97" w:rsidRPr="00266F97" w:rsidRDefault="00266F97" w:rsidP="00266F97">
      <w:pPr>
        <w:jc w:val="both"/>
        <w:rPr>
          <w:lang w:val="en-GB"/>
        </w:rPr>
      </w:pPr>
      <w:r w:rsidRPr="00266F97">
        <w:rPr>
          <w:lang w:val="en-GB"/>
        </w:rPr>
        <w:t>*Journal of Occupational Health Psychology*, 1(1), 27–41.</w:t>
      </w:r>
    </w:p>
    <w:p w14:paraId="65044B98" w14:textId="77777777" w:rsidR="00F6535E" w:rsidRDefault="00F6535E" w:rsidP="000E46B3">
      <w:pPr>
        <w:jc w:val="both"/>
        <w:rPr>
          <w:lang w:val="en-GB"/>
        </w:rPr>
      </w:pPr>
    </w:p>
    <w:p w14:paraId="4445298E" w14:textId="77777777" w:rsidR="00266F97" w:rsidRDefault="00266F97" w:rsidP="000E46B3">
      <w:pPr>
        <w:jc w:val="both"/>
        <w:rPr>
          <w:lang w:val="en-GB"/>
        </w:rPr>
      </w:pPr>
    </w:p>
    <w:p w14:paraId="45CACE7D" w14:textId="77777777" w:rsidR="00266F97" w:rsidRDefault="00266F97" w:rsidP="000E46B3">
      <w:pPr>
        <w:jc w:val="both"/>
        <w:rPr>
          <w:lang w:val="en-GB"/>
        </w:rPr>
      </w:pPr>
    </w:p>
    <w:p w14:paraId="5DA06C30" w14:textId="77777777" w:rsidR="00266F97" w:rsidRDefault="00266F97" w:rsidP="000E46B3">
      <w:pPr>
        <w:jc w:val="both"/>
        <w:rPr>
          <w:lang w:val="en-GB"/>
        </w:rPr>
      </w:pPr>
    </w:p>
    <w:p w14:paraId="74C2FD28" w14:textId="77777777" w:rsidR="00266F97" w:rsidRDefault="00266F97" w:rsidP="000E46B3">
      <w:pPr>
        <w:jc w:val="both"/>
        <w:rPr>
          <w:lang w:val="en-GB"/>
        </w:rPr>
      </w:pPr>
    </w:p>
    <w:p w14:paraId="25B67F4A" w14:textId="77777777" w:rsidR="00266F97" w:rsidRDefault="00266F97" w:rsidP="000E46B3">
      <w:pPr>
        <w:jc w:val="both"/>
        <w:rPr>
          <w:lang w:val="en-GB"/>
        </w:rPr>
      </w:pPr>
    </w:p>
    <w:p w14:paraId="17820929" w14:textId="77777777" w:rsidR="00266F97" w:rsidRDefault="00266F97" w:rsidP="000E46B3">
      <w:pPr>
        <w:jc w:val="both"/>
        <w:rPr>
          <w:lang w:val="en-GB"/>
        </w:rPr>
      </w:pPr>
    </w:p>
    <w:p w14:paraId="6B9EC1B7" w14:textId="77777777" w:rsidR="00266F97" w:rsidRDefault="00266F97" w:rsidP="000E46B3">
      <w:pPr>
        <w:jc w:val="both"/>
        <w:rPr>
          <w:lang w:val="en-GB"/>
        </w:rPr>
      </w:pPr>
    </w:p>
    <w:p w14:paraId="27270831" w14:textId="77777777" w:rsidR="00266F97" w:rsidRDefault="00266F97" w:rsidP="000E46B3">
      <w:pPr>
        <w:jc w:val="both"/>
        <w:rPr>
          <w:lang w:val="en-GB"/>
        </w:rPr>
      </w:pPr>
    </w:p>
    <w:p w14:paraId="74DEB650" w14:textId="77777777" w:rsidR="00266F97" w:rsidRDefault="00266F97" w:rsidP="000E46B3">
      <w:pPr>
        <w:jc w:val="both"/>
        <w:rPr>
          <w:lang w:val="en-GB"/>
        </w:rPr>
      </w:pPr>
    </w:p>
    <w:p w14:paraId="1DEBDFCE" w14:textId="77777777" w:rsidR="00266F97" w:rsidRDefault="00266F97" w:rsidP="000E46B3">
      <w:pPr>
        <w:jc w:val="both"/>
        <w:rPr>
          <w:lang w:val="en-GB"/>
        </w:rPr>
      </w:pPr>
    </w:p>
    <w:p w14:paraId="779B6B22" w14:textId="77777777" w:rsidR="00266F97" w:rsidRDefault="00266F97" w:rsidP="000E46B3">
      <w:pPr>
        <w:jc w:val="both"/>
        <w:rPr>
          <w:lang w:val="en-GB"/>
        </w:rPr>
      </w:pPr>
    </w:p>
    <w:p w14:paraId="19EF2F7E" w14:textId="77777777" w:rsidR="00266F97" w:rsidRDefault="00266F97" w:rsidP="000E46B3">
      <w:pPr>
        <w:jc w:val="both"/>
        <w:rPr>
          <w:lang w:val="en-GB"/>
        </w:rPr>
      </w:pPr>
    </w:p>
    <w:p w14:paraId="2D5CA0AF" w14:textId="77777777" w:rsidR="00266F97" w:rsidRDefault="00266F97" w:rsidP="000E46B3">
      <w:pPr>
        <w:jc w:val="both"/>
        <w:rPr>
          <w:lang w:val="en-GB"/>
        </w:rPr>
      </w:pPr>
    </w:p>
    <w:p w14:paraId="2484607C" w14:textId="77777777" w:rsidR="00266F97" w:rsidRDefault="00266F97" w:rsidP="000E46B3">
      <w:pPr>
        <w:jc w:val="both"/>
        <w:rPr>
          <w:lang w:val="en-GB"/>
        </w:rPr>
      </w:pPr>
    </w:p>
    <w:p w14:paraId="233F345C" w14:textId="77777777" w:rsidR="00266F97" w:rsidRDefault="00266F97" w:rsidP="000E46B3">
      <w:pPr>
        <w:jc w:val="both"/>
        <w:rPr>
          <w:lang w:val="en-GB"/>
        </w:rPr>
      </w:pPr>
    </w:p>
    <w:p w14:paraId="0681AEFA" w14:textId="77777777" w:rsidR="00266F97" w:rsidRDefault="00266F97" w:rsidP="000E46B3">
      <w:pPr>
        <w:jc w:val="both"/>
        <w:rPr>
          <w:lang w:val="en-GB"/>
        </w:rPr>
      </w:pPr>
    </w:p>
    <w:p w14:paraId="1AE06942" w14:textId="77777777" w:rsidR="00266F97" w:rsidRDefault="00266F97" w:rsidP="000E46B3">
      <w:pPr>
        <w:jc w:val="both"/>
        <w:rPr>
          <w:lang w:val="en-GB"/>
        </w:rPr>
      </w:pPr>
    </w:p>
    <w:p w14:paraId="6B719FF1" w14:textId="77777777" w:rsidR="00266F97" w:rsidRDefault="00266F97" w:rsidP="000E46B3">
      <w:pPr>
        <w:jc w:val="both"/>
        <w:rPr>
          <w:lang w:val="en-GB"/>
        </w:rPr>
      </w:pPr>
    </w:p>
    <w:p w14:paraId="20B539AA" w14:textId="77777777" w:rsidR="00266F97" w:rsidRDefault="00266F97" w:rsidP="000E46B3">
      <w:pPr>
        <w:jc w:val="both"/>
        <w:rPr>
          <w:lang w:val="en-GB"/>
        </w:rPr>
      </w:pPr>
    </w:p>
    <w:p w14:paraId="272B64FE" w14:textId="77777777" w:rsidR="00266F97" w:rsidRDefault="00266F97" w:rsidP="000E46B3">
      <w:pPr>
        <w:jc w:val="both"/>
        <w:rPr>
          <w:lang w:val="en-GB"/>
        </w:rPr>
      </w:pPr>
    </w:p>
    <w:p w14:paraId="6E6BB026" w14:textId="77777777" w:rsidR="00266F97" w:rsidRDefault="00266F97" w:rsidP="000E46B3">
      <w:pPr>
        <w:jc w:val="both"/>
        <w:rPr>
          <w:lang w:val="en-GB"/>
        </w:rPr>
      </w:pPr>
    </w:p>
    <w:p w14:paraId="3800B83C" w14:textId="77777777" w:rsidR="00266F97" w:rsidRDefault="00266F97" w:rsidP="000E46B3">
      <w:pPr>
        <w:jc w:val="both"/>
        <w:rPr>
          <w:lang w:val="en-GB"/>
        </w:rPr>
      </w:pPr>
    </w:p>
    <w:p w14:paraId="177AA1AF" w14:textId="77777777" w:rsidR="00FC281A" w:rsidRPr="00FC281A" w:rsidRDefault="00FC281A" w:rsidP="00FC281A">
      <w:pPr>
        <w:jc w:val="both"/>
      </w:pPr>
      <w:r w:rsidRPr="00FC281A">
        <w:rPr>
          <w:b/>
        </w:rPr>
        <w:lastRenderedPageBreak/>
        <w:t>Cultura organizacional y liderazgo saludable en la prevención del acoso laboral en el personal sanitario y no sanitario</w:t>
      </w:r>
    </w:p>
    <w:p w14:paraId="569972BE" w14:textId="77777777" w:rsidR="00FC281A" w:rsidRPr="00FC281A" w:rsidRDefault="00FC281A" w:rsidP="00FC281A">
      <w:pPr>
        <w:jc w:val="both"/>
        <w:rPr>
          <w:b/>
        </w:rPr>
      </w:pPr>
      <w:r w:rsidRPr="00FC281A">
        <w:rPr>
          <w:b/>
        </w:rPr>
        <w:t>Introducción</w:t>
      </w:r>
    </w:p>
    <w:p w14:paraId="57D3B764" w14:textId="77777777" w:rsidR="00FC281A" w:rsidRPr="00FC281A" w:rsidRDefault="00FC281A" w:rsidP="00FC281A">
      <w:pPr>
        <w:jc w:val="both"/>
      </w:pPr>
      <w:r w:rsidRPr="00FC281A">
        <w:t>El acoso laboral, también conocido como *</w:t>
      </w:r>
      <w:proofErr w:type="spellStart"/>
      <w:proofErr w:type="gramStart"/>
      <w:r w:rsidRPr="00FC281A">
        <w:t>mobbing</w:t>
      </w:r>
      <w:proofErr w:type="spellEnd"/>
      <w:proofErr w:type="gramEnd"/>
      <w:r w:rsidRPr="00FC281A">
        <w:t>*, constituye un riesgo psicosocial caracterizado por la exposición repetida y prolongada a conductas de hostigamiento, humillación, aislamiento o descalificación en el entorno de trabajo. Estas situaciones pueden afectar gravemente a la salud física y psicológica de los trabajadores, además de repercutir negativamente en el funcionamiento de las organizaciones.</w:t>
      </w:r>
    </w:p>
    <w:p w14:paraId="702F6565" w14:textId="77777777" w:rsidR="00FC281A" w:rsidRPr="00FC281A" w:rsidRDefault="00FC281A" w:rsidP="00FC281A">
      <w:pPr>
        <w:jc w:val="both"/>
      </w:pPr>
      <w:r w:rsidRPr="00FC281A">
        <w:t>En los centros sanitarios y en los servicios de apoyo, donde la actividad requiere una estrecha colaboración entre diferentes categorías profesionales, mantener un clima laboral basado en el respeto mutuo resulta esencial para garantizar tanto el bienestar de los trabajadores como la calidad de la atención prestada.</w:t>
      </w:r>
    </w:p>
    <w:p w14:paraId="6551CD5F" w14:textId="77777777" w:rsidR="00FC281A" w:rsidRPr="00FC281A" w:rsidRDefault="00FC281A" w:rsidP="00FC281A">
      <w:pPr>
        <w:jc w:val="both"/>
      </w:pPr>
      <w:r w:rsidRPr="00FC281A">
        <w:t>La evidencia científica indica que la prevención del acoso laboral debe abordarse desde una perspectiva organizativa, promoviendo una cultura de respeto, comunicación y tolerancia cero frente a cualquier conducta inadecuada.</w:t>
      </w:r>
    </w:p>
    <w:p w14:paraId="0E40B51E" w14:textId="77777777" w:rsidR="00FC281A" w:rsidRPr="00FC281A" w:rsidRDefault="00FC281A" w:rsidP="00FC281A">
      <w:pPr>
        <w:jc w:val="both"/>
        <w:rPr>
          <w:b/>
        </w:rPr>
      </w:pPr>
      <w:r w:rsidRPr="00FC281A">
        <w:rPr>
          <w:b/>
        </w:rPr>
        <w:t>Objetivo</w:t>
      </w:r>
    </w:p>
    <w:p w14:paraId="6371002F" w14:textId="77777777" w:rsidR="00FC281A" w:rsidRPr="00FC281A" w:rsidRDefault="00FC281A" w:rsidP="00FC281A">
      <w:pPr>
        <w:jc w:val="both"/>
      </w:pPr>
      <w:r w:rsidRPr="00FC281A">
        <w:t>Analizar la influencia de la cultura organizacional y del liderazgo saludable en la prevención del acoso laboral y describir las principales estrategias preventivas dirigidas al personal sanitario y no sanitario.</w:t>
      </w:r>
    </w:p>
    <w:p w14:paraId="01210570" w14:textId="77777777" w:rsidR="00FC281A" w:rsidRPr="00FC281A" w:rsidRDefault="00FC281A" w:rsidP="00FC281A">
      <w:pPr>
        <w:jc w:val="both"/>
        <w:rPr>
          <w:b/>
        </w:rPr>
      </w:pPr>
      <w:r w:rsidRPr="00FC281A">
        <w:rPr>
          <w:b/>
        </w:rPr>
        <w:t>Material y método</w:t>
      </w:r>
    </w:p>
    <w:p w14:paraId="6ADA3E8D" w14:textId="77777777" w:rsidR="00FC281A" w:rsidRPr="00FC281A" w:rsidRDefault="00FC281A" w:rsidP="00FC281A">
      <w:pPr>
        <w:jc w:val="both"/>
      </w:pPr>
      <w:r w:rsidRPr="00FC281A">
        <w:t xml:space="preserve">Se realizó una revisión bibliográfica descriptiva mediante la consulta de artículos científicos, revisiones sistemáticas y documentos técnicos publicados entre 2016 y 2025. Se revisaron las bases de datos PubMed, </w:t>
      </w:r>
      <w:proofErr w:type="spellStart"/>
      <w:r w:rsidRPr="00FC281A">
        <w:t>Scopus</w:t>
      </w:r>
      <w:proofErr w:type="spellEnd"/>
      <w:r w:rsidRPr="00FC281A">
        <w:t xml:space="preserve"> y Google Scholar, además de publicaciones de organismos nacionales e internacionales relacionadas con riesgos psicosociales, salud laboral y gestión de personas.</w:t>
      </w:r>
    </w:p>
    <w:p w14:paraId="519E8F26" w14:textId="77777777" w:rsidR="00FC281A" w:rsidRPr="00FC281A" w:rsidRDefault="00FC281A" w:rsidP="00FC281A">
      <w:pPr>
        <w:jc w:val="both"/>
      </w:pPr>
      <w:r w:rsidRPr="00FC281A">
        <w:t>Se seleccionaron estudios sobre acoso laboral, liderazgo, clima organizacional y prevención de riesgos psicosociales.</w:t>
      </w:r>
    </w:p>
    <w:p w14:paraId="4AE687C9" w14:textId="77777777" w:rsidR="00FC281A" w:rsidRPr="00FC281A" w:rsidRDefault="00FC281A" w:rsidP="00FC281A">
      <w:pPr>
        <w:jc w:val="both"/>
        <w:rPr>
          <w:b/>
        </w:rPr>
      </w:pPr>
      <w:r w:rsidRPr="00FC281A">
        <w:rPr>
          <w:b/>
        </w:rPr>
        <w:t>Resultados</w:t>
      </w:r>
    </w:p>
    <w:p w14:paraId="08F401D7" w14:textId="77777777" w:rsidR="00FC281A" w:rsidRPr="00FC281A" w:rsidRDefault="00FC281A" w:rsidP="00FC281A">
      <w:pPr>
        <w:jc w:val="both"/>
      </w:pPr>
      <w:r w:rsidRPr="00FC281A">
        <w:t>La literatura científica demuestra que las organizaciones con una cultura basada en el respeto, la transparencia y la participación presentan una menor incidencia de situaciones de acoso laboral.</w:t>
      </w:r>
    </w:p>
    <w:p w14:paraId="13F74417" w14:textId="77777777" w:rsidR="00FC281A" w:rsidRPr="00FC281A" w:rsidRDefault="00FC281A" w:rsidP="00FC281A">
      <w:pPr>
        <w:jc w:val="both"/>
      </w:pPr>
      <w:r w:rsidRPr="00FC281A">
        <w:t xml:space="preserve">Los estudios destacan que el liderazgo ejercido por mandos accesibles, imparciales y capaces de gestionar los conflictos de forma temprana constituye </w:t>
      </w:r>
      <w:r w:rsidRPr="00FC281A">
        <w:lastRenderedPageBreak/>
        <w:t>uno de los principales factores protectores frente al desarrollo de conductas de hostigamiento.</w:t>
      </w:r>
    </w:p>
    <w:p w14:paraId="0FFBD590" w14:textId="77777777" w:rsidR="00FC281A" w:rsidRPr="00FC281A" w:rsidRDefault="00FC281A" w:rsidP="00FC281A">
      <w:pPr>
        <w:jc w:val="both"/>
      </w:pPr>
      <w:r w:rsidRPr="00FC281A">
        <w:t>En el personal sanitario, la elevada carga asistencial y la necesidad de coordinación entre diferentes profesionales pueden favorecer conflictos si no existen canales adecuados de comunicación. En el personal no sanitario, las diferencias jerárquicas, la presión organizativa o la distribución desigual de tareas también pueden originar tensiones que requieren una gestión preventiva.</w:t>
      </w:r>
    </w:p>
    <w:p w14:paraId="4B3CB96C" w14:textId="77777777" w:rsidR="00FC281A" w:rsidRPr="00FC281A" w:rsidRDefault="00FC281A" w:rsidP="00FC281A">
      <w:pPr>
        <w:jc w:val="both"/>
      </w:pPr>
      <w:r w:rsidRPr="00FC281A">
        <w:t>La revisión muestra que la implantación de protocolos claros de actuación, canales confidenciales de comunicación y procedimientos objetivos para la investigación de incidencias favorece la detección precoz de situaciones de acoso y facilita una respuesta rápida por parte de la organización.</w:t>
      </w:r>
    </w:p>
    <w:p w14:paraId="73A24257" w14:textId="77777777" w:rsidR="00FC281A" w:rsidRPr="00FC281A" w:rsidRDefault="00FC281A" w:rsidP="00FC281A">
      <w:pPr>
        <w:jc w:val="both"/>
      </w:pPr>
      <w:r w:rsidRPr="00FC281A">
        <w:t>Asimismo, la formación en habilidades de comunicación, resolución de conflictos, liderazgo positivo y respeto a la diversidad contribuye a mejorar el clima laboral y a reducir la aparición de conductas inadecuadas.</w:t>
      </w:r>
    </w:p>
    <w:p w14:paraId="32D80934" w14:textId="77777777" w:rsidR="00FC281A" w:rsidRPr="00FC281A" w:rsidRDefault="00FC281A" w:rsidP="00FC281A">
      <w:pPr>
        <w:jc w:val="both"/>
        <w:rPr>
          <w:b/>
        </w:rPr>
      </w:pPr>
      <w:r w:rsidRPr="00FC281A">
        <w:rPr>
          <w:b/>
        </w:rPr>
        <w:t>Conclusiones</w:t>
      </w:r>
    </w:p>
    <w:p w14:paraId="24E5E4A3" w14:textId="77777777" w:rsidR="00FC281A" w:rsidRPr="00FC281A" w:rsidRDefault="00FC281A" w:rsidP="00FC281A">
      <w:pPr>
        <w:jc w:val="both"/>
      </w:pPr>
      <w:r w:rsidRPr="00FC281A">
        <w:t>La prevención del acoso laboral requiere el compromiso de toda la organización y la implicación activa tanto del personal sanitario como del no sanitario.</w:t>
      </w:r>
    </w:p>
    <w:p w14:paraId="22810567" w14:textId="77777777" w:rsidR="00FC281A" w:rsidRPr="00FC281A" w:rsidRDefault="00FC281A" w:rsidP="00FC281A">
      <w:pPr>
        <w:jc w:val="both"/>
      </w:pPr>
      <w:r w:rsidRPr="00FC281A">
        <w:t>El desarrollo de una cultura organizacional basada en el respeto, la igualdad de trato, la comunicación abierta y el liderazgo saludable constituye una de las estrategias más eficaces para prevenir este riesgo psicosocial.</w:t>
      </w:r>
    </w:p>
    <w:p w14:paraId="4AB8FF22" w14:textId="77777777" w:rsidR="00FC281A" w:rsidRPr="00FC281A" w:rsidRDefault="00FC281A" w:rsidP="00FC281A">
      <w:pPr>
        <w:jc w:val="both"/>
      </w:pPr>
      <w:r w:rsidRPr="00FC281A">
        <w:t>La implantación de políticas preventivas, la formación continuada y la existencia de mecanismos seguros para comunicar situaciones de conflicto permiten proteger la salud de los trabajadores, fortalecer la confianza dentro de los equipos y mejorar la calidad del entorno laboral.</w:t>
      </w:r>
    </w:p>
    <w:p w14:paraId="36209677" w14:textId="77777777" w:rsidR="00FC281A" w:rsidRPr="00FC281A" w:rsidRDefault="00FC281A" w:rsidP="00FC281A">
      <w:pPr>
        <w:jc w:val="both"/>
        <w:rPr>
          <w:b/>
        </w:rPr>
      </w:pPr>
      <w:r w:rsidRPr="00FC281A">
        <w:rPr>
          <w:b/>
        </w:rPr>
        <w:t>Bibliografía</w:t>
      </w:r>
    </w:p>
    <w:p w14:paraId="1B392847" w14:textId="77777777" w:rsidR="00FC281A" w:rsidRPr="00FC281A" w:rsidRDefault="00FC281A" w:rsidP="00FC281A">
      <w:pPr>
        <w:numPr>
          <w:ilvl w:val="0"/>
          <w:numId w:val="65"/>
        </w:numPr>
        <w:jc w:val="both"/>
      </w:pPr>
      <w:r w:rsidRPr="00FC281A">
        <w:t>Organización Internacional del Trabajo. (2019). *Convenio 190 sobre la violencia y el acoso en el mundo del trabajo*.</w:t>
      </w:r>
    </w:p>
    <w:p w14:paraId="7ACAE57C" w14:textId="77777777" w:rsidR="00FC281A" w:rsidRPr="00FC281A" w:rsidRDefault="00FC281A" w:rsidP="00FC281A">
      <w:pPr>
        <w:numPr>
          <w:ilvl w:val="0"/>
          <w:numId w:val="65"/>
        </w:numPr>
        <w:jc w:val="both"/>
      </w:pPr>
      <w:r w:rsidRPr="00FC281A">
        <w:t>Instituto Nacional de Seguridad y Salud en el Trabajo. (2024). *Riesgos psicosociales: violencia y acoso en el trabajo*.</w:t>
      </w:r>
    </w:p>
    <w:p w14:paraId="54D2C101" w14:textId="77777777" w:rsidR="00FC281A" w:rsidRPr="00FC281A" w:rsidRDefault="00FC281A" w:rsidP="00FC281A">
      <w:pPr>
        <w:numPr>
          <w:ilvl w:val="0"/>
          <w:numId w:val="65"/>
        </w:numPr>
        <w:jc w:val="both"/>
        <w:rPr>
          <w:lang w:val="en-GB"/>
        </w:rPr>
      </w:pPr>
      <w:r w:rsidRPr="00FC281A">
        <w:t xml:space="preserve">Agencia Europea para la Seguridad y la Salud en el Trabajo. </w:t>
      </w:r>
      <w:r w:rsidRPr="00FC281A">
        <w:rPr>
          <w:lang w:val="en-GB"/>
        </w:rPr>
        <w:t>(2023). *Violence and Harassment at Work*.</w:t>
      </w:r>
    </w:p>
    <w:p w14:paraId="3443200D" w14:textId="77777777" w:rsidR="00FC281A" w:rsidRPr="00FC281A" w:rsidRDefault="00FC281A" w:rsidP="00FC281A">
      <w:pPr>
        <w:numPr>
          <w:ilvl w:val="0"/>
          <w:numId w:val="65"/>
        </w:numPr>
        <w:jc w:val="both"/>
      </w:pPr>
      <w:r w:rsidRPr="00FC281A">
        <w:rPr>
          <w:lang w:val="en-GB"/>
        </w:rPr>
        <w:t xml:space="preserve">Heinz Leymann. (1996). *The Content and Development of Mobbing at Work*. </w:t>
      </w:r>
      <w:r w:rsidRPr="00FC281A">
        <w:t>*</w:t>
      </w:r>
      <w:proofErr w:type="spellStart"/>
      <w:r w:rsidRPr="00FC281A">
        <w:t>European</w:t>
      </w:r>
      <w:proofErr w:type="spellEnd"/>
      <w:r w:rsidRPr="00FC281A">
        <w:t xml:space="preserve"> </w:t>
      </w:r>
      <w:proofErr w:type="spellStart"/>
      <w:r w:rsidRPr="00FC281A">
        <w:t>Journal</w:t>
      </w:r>
      <w:proofErr w:type="spellEnd"/>
      <w:r w:rsidRPr="00FC281A">
        <w:t xml:space="preserve"> </w:t>
      </w:r>
      <w:proofErr w:type="spellStart"/>
      <w:r w:rsidRPr="00FC281A">
        <w:t>of</w:t>
      </w:r>
      <w:proofErr w:type="spellEnd"/>
      <w:r w:rsidRPr="00FC281A">
        <w:t xml:space="preserve"> Work and </w:t>
      </w:r>
      <w:proofErr w:type="spellStart"/>
      <w:r w:rsidRPr="00FC281A">
        <w:t>Organizational</w:t>
      </w:r>
      <w:proofErr w:type="spellEnd"/>
      <w:r w:rsidRPr="00FC281A">
        <w:t xml:space="preserve"> </w:t>
      </w:r>
      <w:proofErr w:type="spellStart"/>
      <w:r w:rsidRPr="00FC281A">
        <w:t>Psychology</w:t>
      </w:r>
      <w:proofErr w:type="spellEnd"/>
      <w:r w:rsidRPr="00FC281A">
        <w:t>*.</w:t>
      </w:r>
    </w:p>
    <w:p w14:paraId="0E3160A7" w14:textId="77777777" w:rsidR="00FC281A" w:rsidRPr="00FC281A" w:rsidRDefault="00FC281A" w:rsidP="00FC281A">
      <w:pPr>
        <w:numPr>
          <w:ilvl w:val="0"/>
          <w:numId w:val="65"/>
        </w:numPr>
        <w:jc w:val="both"/>
      </w:pPr>
      <w:r w:rsidRPr="00FC281A">
        <w:rPr>
          <w:lang w:val="en-GB"/>
        </w:rPr>
        <w:t xml:space="preserve">Einarsen, S., Hoel, H., Zapf, D., &amp; Cooper, C. L. (2020). *Bullying and Harassment in the Workplace: Theory, Research and Practice*. </w:t>
      </w:r>
      <w:r w:rsidRPr="00FC281A">
        <w:t>CRC Press.</w:t>
      </w:r>
    </w:p>
    <w:p w14:paraId="1E68029E" w14:textId="77777777" w:rsidR="00EF1DE4" w:rsidRPr="00EF1DE4" w:rsidRDefault="00EF1DE4" w:rsidP="00EF1DE4">
      <w:pPr>
        <w:jc w:val="both"/>
      </w:pPr>
      <w:proofErr w:type="gramStart"/>
      <w:r w:rsidRPr="00EF1DE4">
        <w:rPr>
          <w:b/>
        </w:rPr>
        <w:lastRenderedPageBreak/>
        <w:t>La asertividad</w:t>
      </w:r>
      <w:proofErr w:type="gramEnd"/>
      <w:r w:rsidRPr="00EF1DE4">
        <w:rPr>
          <w:b/>
        </w:rPr>
        <w:t xml:space="preserve"> como herramienta para fortalecer la seguridad y la toma de decisiones en el personal sanitario y no sanitario</w:t>
      </w:r>
    </w:p>
    <w:p w14:paraId="17392C2F" w14:textId="77777777" w:rsidR="00EF1DE4" w:rsidRPr="00EF1DE4" w:rsidRDefault="00EF1DE4" w:rsidP="00EF1DE4">
      <w:pPr>
        <w:jc w:val="both"/>
        <w:rPr>
          <w:b/>
        </w:rPr>
      </w:pPr>
      <w:r w:rsidRPr="00EF1DE4">
        <w:rPr>
          <w:b/>
        </w:rPr>
        <w:t>Introducción</w:t>
      </w:r>
    </w:p>
    <w:p w14:paraId="0760D72D" w14:textId="77777777" w:rsidR="00EF1DE4" w:rsidRPr="00EF1DE4" w:rsidRDefault="00EF1DE4" w:rsidP="00EF1DE4">
      <w:pPr>
        <w:jc w:val="both"/>
      </w:pPr>
      <w:proofErr w:type="gramStart"/>
      <w:r w:rsidRPr="00EF1DE4">
        <w:t>La asertividad</w:t>
      </w:r>
      <w:proofErr w:type="gramEnd"/>
      <w:r w:rsidRPr="00EF1DE4">
        <w:t xml:space="preserve"> es una competencia comunicativa que permite expresar ideas, opiniones, preocupaciones y necesidades de manera clara, respetuosa y fundamentada, favoreciendo relaciones laborales saludables y una adecuada coordinación entre los profesionales. En el entorno laboral, especialmente en organizaciones donde el trabajo se desarrolla en equipo, la comunicación asertiva constituye un elemento clave para prevenir errores y mejorar la seguridad.</w:t>
      </w:r>
    </w:p>
    <w:p w14:paraId="292B937E" w14:textId="77777777" w:rsidR="00EF1DE4" w:rsidRPr="00EF1DE4" w:rsidRDefault="00EF1DE4" w:rsidP="00EF1DE4">
      <w:pPr>
        <w:jc w:val="both"/>
      </w:pPr>
      <w:r w:rsidRPr="00EF1DE4">
        <w:t>El personal sanitario y el no sanitario participan diariamente en procesos que requieren intercambio constante de información. La capacidad para comunicar incidencias, solicitar aclaraciones, expresar desacuerdos de forma constructiva o alertar sobre posibles riesgos contribuye a mejorar la calidad de los procesos y a reducir la probabilidad de errores.</w:t>
      </w:r>
    </w:p>
    <w:p w14:paraId="07C620D1" w14:textId="77777777" w:rsidR="00EF1DE4" w:rsidRPr="00EF1DE4" w:rsidRDefault="00EF1DE4" w:rsidP="00EF1DE4">
      <w:pPr>
        <w:jc w:val="both"/>
      </w:pPr>
      <w:r w:rsidRPr="00EF1DE4">
        <w:t xml:space="preserve">El desarrollo </w:t>
      </w:r>
      <w:proofErr w:type="gramStart"/>
      <w:r w:rsidRPr="00EF1DE4">
        <w:t>de la asertividad</w:t>
      </w:r>
      <w:proofErr w:type="gramEnd"/>
      <w:r w:rsidRPr="00EF1DE4">
        <w:t xml:space="preserve"> favorece una cultura organizativa donde todos los profesionales se sienten capacitados para participar activamente en la mejora continua y en la prevención de riesgos.</w:t>
      </w:r>
    </w:p>
    <w:p w14:paraId="56E5B5CF" w14:textId="77777777" w:rsidR="00EF1DE4" w:rsidRPr="00EF1DE4" w:rsidRDefault="00EF1DE4" w:rsidP="00EF1DE4">
      <w:pPr>
        <w:jc w:val="both"/>
        <w:rPr>
          <w:b/>
        </w:rPr>
      </w:pPr>
      <w:r w:rsidRPr="00EF1DE4">
        <w:rPr>
          <w:b/>
        </w:rPr>
        <w:t>Objetivo</w:t>
      </w:r>
    </w:p>
    <w:p w14:paraId="457CB5C4" w14:textId="77777777" w:rsidR="00EF1DE4" w:rsidRPr="00EF1DE4" w:rsidRDefault="00EF1DE4" w:rsidP="00EF1DE4">
      <w:pPr>
        <w:jc w:val="both"/>
      </w:pPr>
      <w:r w:rsidRPr="00EF1DE4">
        <w:t>Analizar la influencia de la comunicación asertiva en la seguridad, la toma de decisiones y la calidad del trabajo desarrollado por el personal sanitario y no sanitario.</w:t>
      </w:r>
    </w:p>
    <w:p w14:paraId="5C560BCC" w14:textId="77777777" w:rsidR="00EF1DE4" w:rsidRPr="00EF1DE4" w:rsidRDefault="00EF1DE4" w:rsidP="00EF1DE4">
      <w:pPr>
        <w:jc w:val="both"/>
        <w:rPr>
          <w:b/>
        </w:rPr>
      </w:pPr>
      <w:r w:rsidRPr="00EF1DE4">
        <w:rPr>
          <w:b/>
        </w:rPr>
        <w:t>Material y método</w:t>
      </w:r>
    </w:p>
    <w:p w14:paraId="6C0F8B04" w14:textId="77777777" w:rsidR="00EF1DE4" w:rsidRPr="00EF1DE4" w:rsidRDefault="00EF1DE4" w:rsidP="00EF1DE4">
      <w:pPr>
        <w:jc w:val="both"/>
      </w:pPr>
      <w:r w:rsidRPr="00EF1DE4">
        <w:t xml:space="preserve">Se realizó una revisión bibliográfica descriptiva mediante la consulta de artículos científicos, revisiones sistemáticas y documentos técnicos publicados entre 2016 y 2025. Se revisaron las bases de datos PubMed, </w:t>
      </w:r>
      <w:proofErr w:type="spellStart"/>
      <w:r w:rsidRPr="00EF1DE4">
        <w:t>Scopus</w:t>
      </w:r>
      <w:proofErr w:type="spellEnd"/>
      <w:r w:rsidRPr="00EF1DE4">
        <w:t xml:space="preserve"> y Google Scholar, además de publicaciones relacionadas con habilidades no técnicas, seguridad organizacional y comunicación profesional.</w:t>
      </w:r>
    </w:p>
    <w:p w14:paraId="2B550699" w14:textId="77777777" w:rsidR="00EF1DE4" w:rsidRPr="00EF1DE4" w:rsidRDefault="00EF1DE4" w:rsidP="00EF1DE4">
      <w:pPr>
        <w:jc w:val="both"/>
      </w:pPr>
      <w:r w:rsidRPr="00EF1DE4">
        <w:t xml:space="preserve">Se seleccionaron estudios que abordaban la relación entre </w:t>
      </w:r>
      <w:proofErr w:type="gramStart"/>
      <w:r w:rsidRPr="00EF1DE4">
        <w:t>la asertividad</w:t>
      </w:r>
      <w:proofErr w:type="gramEnd"/>
      <w:r w:rsidRPr="00EF1DE4">
        <w:t>, la toma de decisiones, la seguridad del paciente y el funcionamiento de los equipos de trabajo.</w:t>
      </w:r>
    </w:p>
    <w:p w14:paraId="77EAF604" w14:textId="77777777" w:rsidR="00EF1DE4" w:rsidRPr="00EF1DE4" w:rsidRDefault="00EF1DE4" w:rsidP="00EF1DE4">
      <w:pPr>
        <w:jc w:val="both"/>
        <w:rPr>
          <w:b/>
        </w:rPr>
      </w:pPr>
      <w:r w:rsidRPr="00EF1DE4">
        <w:rPr>
          <w:b/>
        </w:rPr>
        <w:t>Resultados</w:t>
      </w:r>
    </w:p>
    <w:p w14:paraId="0BED00E0" w14:textId="77777777" w:rsidR="00EF1DE4" w:rsidRPr="00EF1DE4" w:rsidRDefault="00EF1DE4" w:rsidP="00EF1DE4">
      <w:pPr>
        <w:jc w:val="both"/>
      </w:pPr>
      <w:r w:rsidRPr="00EF1DE4">
        <w:t>La evidencia científica indica que la comunicación asertiva favorece la detección precoz de errores potenciales, mejora la coordinación entre profesionales y facilita la toma de decisiones compartida.</w:t>
      </w:r>
    </w:p>
    <w:p w14:paraId="1E4749F3" w14:textId="77777777" w:rsidR="00EF1DE4" w:rsidRPr="00EF1DE4" w:rsidRDefault="00EF1DE4" w:rsidP="00EF1DE4">
      <w:pPr>
        <w:jc w:val="both"/>
      </w:pPr>
      <w:r w:rsidRPr="00EF1DE4">
        <w:lastRenderedPageBreak/>
        <w:t xml:space="preserve">En el ámbito sanitario, la capacidad para expresar dudas, comunicar cambios en el estado de un paciente o advertir sobre posibles riesgos constituye un factor esencial para garantizar una atención segura. En el personal no sanitario, </w:t>
      </w:r>
      <w:proofErr w:type="gramStart"/>
      <w:r w:rsidRPr="00EF1DE4">
        <w:t>la asertividad</w:t>
      </w:r>
      <w:proofErr w:type="gramEnd"/>
      <w:r w:rsidRPr="00EF1DE4">
        <w:t xml:space="preserve"> mejora la comunicación de incidencias relacionadas con la organización del trabajo, el mantenimiento de instalaciones, la gestión documental o la atención a usuarios.</w:t>
      </w:r>
    </w:p>
    <w:p w14:paraId="2FECA813" w14:textId="77777777" w:rsidR="00EF1DE4" w:rsidRPr="00EF1DE4" w:rsidRDefault="00EF1DE4" w:rsidP="00EF1DE4">
      <w:pPr>
        <w:jc w:val="both"/>
      </w:pPr>
      <w:r w:rsidRPr="00EF1DE4">
        <w:t>Los estudios muestran que las organizaciones donde los profesionales pueden expresar sus opiniones sin temor a represalias presentan mayores niveles de seguridad, menor número de incidentes y un mejor clima laboral.</w:t>
      </w:r>
    </w:p>
    <w:p w14:paraId="24F8AE9B" w14:textId="77777777" w:rsidR="00EF1DE4" w:rsidRPr="00EF1DE4" w:rsidRDefault="00EF1DE4" w:rsidP="00EF1DE4">
      <w:pPr>
        <w:jc w:val="both"/>
      </w:pPr>
      <w:r w:rsidRPr="00EF1DE4">
        <w:t xml:space="preserve">Asimismo, la formación en habilidades </w:t>
      </w:r>
      <w:proofErr w:type="gramStart"/>
      <w:r w:rsidRPr="00EF1DE4">
        <w:t>comunicativas,</w:t>
      </w:r>
      <w:proofErr w:type="gramEnd"/>
      <w:r w:rsidRPr="00EF1DE4">
        <w:t xml:space="preserve"> escucha activa, retroalimentación constructiva y resolución colaborativa de problemas incrementa la confianza entre los miembros del equipo y favorece una cultura basada en el aprendizaje y la mejora continua.</w:t>
      </w:r>
    </w:p>
    <w:p w14:paraId="734F31A5" w14:textId="77777777" w:rsidR="00EF1DE4" w:rsidRPr="00EF1DE4" w:rsidRDefault="00EF1DE4" w:rsidP="00EF1DE4">
      <w:pPr>
        <w:jc w:val="both"/>
      </w:pPr>
      <w:r w:rsidRPr="00EF1DE4">
        <w:t xml:space="preserve">La literatura científica también destaca que </w:t>
      </w:r>
      <w:proofErr w:type="gramStart"/>
      <w:r w:rsidRPr="00EF1DE4">
        <w:t>la asertividad</w:t>
      </w:r>
      <w:proofErr w:type="gramEnd"/>
      <w:r w:rsidRPr="00EF1DE4">
        <w:t xml:space="preserve"> facilita el establecimiento de límites profesionales, reduce los conflictos interpersonales y mejora la satisfacción laboral al promover relaciones basadas en el respeto mutuo.</w:t>
      </w:r>
    </w:p>
    <w:p w14:paraId="40306FC4" w14:textId="77777777" w:rsidR="00EF1DE4" w:rsidRPr="00EF1DE4" w:rsidRDefault="00EF1DE4" w:rsidP="00EF1DE4">
      <w:pPr>
        <w:jc w:val="both"/>
        <w:rPr>
          <w:b/>
        </w:rPr>
      </w:pPr>
      <w:r w:rsidRPr="00EF1DE4">
        <w:rPr>
          <w:b/>
        </w:rPr>
        <w:t>Conclusiones</w:t>
      </w:r>
    </w:p>
    <w:p w14:paraId="1D3C908A" w14:textId="77777777" w:rsidR="00EF1DE4" w:rsidRPr="00EF1DE4" w:rsidRDefault="00EF1DE4" w:rsidP="00EF1DE4">
      <w:pPr>
        <w:jc w:val="both"/>
      </w:pPr>
      <w:proofErr w:type="gramStart"/>
      <w:r w:rsidRPr="00EF1DE4">
        <w:t>La asertividad</w:t>
      </w:r>
      <w:proofErr w:type="gramEnd"/>
      <w:r w:rsidRPr="00EF1DE4">
        <w:t xml:space="preserve"> constituye una competencia esencial para el personal sanitario y no sanitario, ya que favorece una comunicación eficaz, fortalece la seguridad organizacional y mejora la calidad de la toma de decisiones.</w:t>
      </w:r>
    </w:p>
    <w:p w14:paraId="3781CBE9" w14:textId="77777777" w:rsidR="00EF1DE4" w:rsidRPr="00EF1DE4" w:rsidRDefault="00EF1DE4" w:rsidP="00EF1DE4">
      <w:pPr>
        <w:jc w:val="both"/>
      </w:pPr>
      <w:r w:rsidRPr="00EF1DE4">
        <w:t>Promover entornos donde los profesionales puedan expresar sus observaciones, preocupaciones y propuestas de mejora de manera respetuosa contribuye a prevenir errores, optimizar el trabajo en equipo y reforzar la cultura preventiva.</w:t>
      </w:r>
    </w:p>
    <w:p w14:paraId="097871F4" w14:textId="77777777" w:rsidR="00EF1DE4" w:rsidRPr="00EF1DE4" w:rsidRDefault="00EF1DE4" w:rsidP="00EF1DE4">
      <w:pPr>
        <w:jc w:val="both"/>
      </w:pPr>
      <w:r w:rsidRPr="00EF1DE4">
        <w:t>La formación continuada en comunicación asertiva, junto con el apoyo de las organizaciones para fomentar un clima de confianza y colaboración, representa una estrategia eficaz para mejorar tanto el bienestar de los trabajadores como la calidad de los servicios.</w:t>
      </w:r>
    </w:p>
    <w:p w14:paraId="6CB85BFB" w14:textId="77777777" w:rsidR="00EF1DE4" w:rsidRPr="00EF1DE4" w:rsidRDefault="00EF1DE4" w:rsidP="00EF1DE4">
      <w:pPr>
        <w:jc w:val="both"/>
        <w:rPr>
          <w:b/>
        </w:rPr>
      </w:pPr>
      <w:r w:rsidRPr="00EF1DE4">
        <w:rPr>
          <w:b/>
        </w:rPr>
        <w:t>Bibliografía</w:t>
      </w:r>
    </w:p>
    <w:p w14:paraId="77AD8AD1" w14:textId="77777777" w:rsidR="00EF1DE4" w:rsidRPr="00EF1DE4" w:rsidRDefault="00EF1DE4" w:rsidP="00EF1DE4">
      <w:pPr>
        <w:numPr>
          <w:ilvl w:val="0"/>
          <w:numId w:val="66"/>
        </w:numPr>
        <w:jc w:val="both"/>
        <w:rPr>
          <w:lang w:val="en-GB"/>
        </w:rPr>
      </w:pPr>
      <w:r w:rsidRPr="00EF1DE4">
        <w:t xml:space="preserve">Organización Mundial de la Salud. </w:t>
      </w:r>
      <w:r w:rsidRPr="00EF1DE4">
        <w:rPr>
          <w:lang w:val="en-GB"/>
        </w:rPr>
        <w:t>(2021). *Global Patient Safety Action Plan 2021–2030</w:t>
      </w:r>
      <w:proofErr w:type="gramStart"/>
      <w:r w:rsidRPr="00EF1DE4">
        <w:rPr>
          <w:lang w:val="en-GB"/>
        </w:rPr>
        <w:t>*.*</w:t>
      </w:r>
      <w:proofErr w:type="gramEnd"/>
      <w:r w:rsidRPr="00EF1DE4">
        <w:rPr>
          <w:lang w:val="en-GB"/>
        </w:rPr>
        <w:t xml:space="preserve"> Agency for Healthcare Research and Quality. *</w:t>
      </w:r>
      <w:proofErr w:type="spellStart"/>
      <w:r w:rsidRPr="00EF1DE4">
        <w:rPr>
          <w:lang w:val="en-GB"/>
        </w:rPr>
        <w:t>TeamSTEPPS</w:t>
      </w:r>
      <w:proofErr w:type="spellEnd"/>
      <w:r w:rsidRPr="00EF1DE4">
        <w:rPr>
          <w:lang w:val="en-GB"/>
        </w:rPr>
        <w:t>® 3.0: Strategies and Tools to Enhance Performance and Patient Safety*.</w:t>
      </w:r>
    </w:p>
    <w:p w14:paraId="57B35DA6" w14:textId="77777777" w:rsidR="00EF1DE4" w:rsidRPr="00EF1DE4" w:rsidRDefault="00EF1DE4" w:rsidP="00EF1DE4">
      <w:pPr>
        <w:numPr>
          <w:ilvl w:val="0"/>
          <w:numId w:val="66"/>
        </w:numPr>
        <w:jc w:val="both"/>
      </w:pPr>
      <w:r w:rsidRPr="00EF1DE4">
        <w:t>Instituto Nacional de Seguridad y Salud en el Trabajo. (2024). *Factores psicosociales y comunicación en el entorno laboral*.</w:t>
      </w:r>
    </w:p>
    <w:p w14:paraId="171C8E89" w14:textId="77777777" w:rsidR="00EF1DE4" w:rsidRPr="00EF1DE4" w:rsidRDefault="00EF1DE4" w:rsidP="00EF1DE4">
      <w:pPr>
        <w:numPr>
          <w:ilvl w:val="0"/>
          <w:numId w:val="66"/>
        </w:numPr>
        <w:jc w:val="both"/>
      </w:pPr>
      <w:r w:rsidRPr="00EF1DE4">
        <w:rPr>
          <w:lang w:val="en-GB"/>
        </w:rPr>
        <w:t xml:space="preserve">Alberti Robert E., &amp; Emmons, M. L. (2017). *Your Perfect Right: Assertiveness and Equality in Your Life and Relationships*. </w:t>
      </w:r>
      <w:proofErr w:type="spellStart"/>
      <w:r w:rsidRPr="00EF1DE4">
        <w:t>Impact</w:t>
      </w:r>
      <w:proofErr w:type="spellEnd"/>
      <w:r w:rsidRPr="00EF1DE4">
        <w:t xml:space="preserve"> </w:t>
      </w:r>
      <w:proofErr w:type="spellStart"/>
      <w:r w:rsidRPr="00EF1DE4">
        <w:t>Publishers</w:t>
      </w:r>
      <w:proofErr w:type="spellEnd"/>
      <w:r w:rsidRPr="00EF1DE4">
        <w:t>.</w:t>
      </w:r>
    </w:p>
    <w:p w14:paraId="3D94E075" w14:textId="77777777" w:rsidR="00EF1DE4" w:rsidRPr="00EF1DE4" w:rsidRDefault="00EF1DE4" w:rsidP="00EF1DE4">
      <w:pPr>
        <w:numPr>
          <w:ilvl w:val="0"/>
          <w:numId w:val="66"/>
        </w:numPr>
        <w:jc w:val="both"/>
      </w:pPr>
      <w:r w:rsidRPr="00EF1DE4">
        <w:rPr>
          <w:lang w:val="en-GB"/>
        </w:rPr>
        <w:lastRenderedPageBreak/>
        <w:t xml:space="preserve">Speed, B. C., Goldstein, B. L., &amp; Goldfried, M. R. (2018). Assertiveness training: A forgotten evidence-based treatment. </w:t>
      </w:r>
      <w:r w:rsidRPr="00EF1DE4">
        <w:t>*</w:t>
      </w:r>
      <w:proofErr w:type="spellStart"/>
      <w:r w:rsidRPr="00EF1DE4">
        <w:t>Clinical</w:t>
      </w:r>
      <w:proofErr w:type="spellEnd"/>
      <w:r w:rsidRPr="00EF1DE4">
        <w:t xml:space="preserve"> </w:t>
      </w:r>
      <w:proofErr w:type="spellStart"/>
      <w:r w:rsidRPr="00EF1DE4">
        <w:t>Psychology</w:t>
      </w:r>
      <w:proofErr w:type="spellEnd"/>
      <w:r w:rsidRPr="00EF1DE4">
        <w:t xml:space="preserve">: </w:t>
      </w:r>
      <w:proofErr w:type="spellStart"/>
      <w:r w:rsidRPr="00EF1DE4">
        <w:t>Science</w:t>
      </w:r>
      <w:proofErr w:type="spellEnd"/>
      <w:r w:rsidRPr="00EF1DE4">
        <w:t xml:space="preserve"> and </w:t>
      </w:r>
      <w:proofErr w:type="spellStart"/>
      <w:r w:rsidRPr="00EF1DE4">
        <w:t>Practice</w:t>
      </w:r>
      <w:proofErr w:type="spellEnd"/>
      <w:r w:rsidRPr="00EF1DE4">
        <w:t>*, 25(1), e12216.</w:t>
      </w:r>
    </w:p>
    <w:p w14:paraId="768107BD" w14:textId="77777777" w:rsidR="00266F97" w:rsidRDefault="00266F97" w:rsidP="000E46B3">
      <w:pPr>
        <w:jc w:val="both"/>
        <w:rPr>
          <w:lang w:val="en-GB"/>
        </w:rPr>
      </w:pPr>
    </w:p>
    <w:p w14:paraId="581F78CF" w14:textId="77777777" w:rsidR="00EF1DE4" w:rsidRDefault="00EF1DE4" w:rsidP="000E46B3">
      <w:pPr>
        <w:jc w:val="both"/>
        <w:rPr>
          <w:lang w:val="en-GB"/>
        </w:rPr>
      </w:pPr>
    </w:p>
    <w:p w14:paraId="752B60D9" w14:textId="77777777" w:rsidR="00EF1DE4" w:rsidRDefault="00EF1DE4" w:rsidP="000E46B3">
      <w:pPr>
        <w:jc w:val="both"/>
        <w:rPr>
          <w:lang w:val="en-GB"/>
        </w:rPr>
      </w:pPr>
    </w:p>
    <w:p w14:paraId="60A8A300" w14:textId="77777777" w:rsidR="00EF1DE4" w:rsidRDefault="00EF1DE4" w:rsidP="000E46B3">
      <w:pPr>
        <w:jc w:val="both"/>
        <w:rPr>
          <w:lang w:val="en-GB"/>
        </w:rPr>
      </w:pPr>
    </w:p>
    <w:p w14:paraId="58A1BBB7" w14:textId="77777777" w:rsidR="00EF1DE4" w:rsidRDefault="00EF1DE4" w:rsidP="000E46B3">
      <w:pPr>
        <w:jc w:val="both"/>
        <w:rPr>
          <w:lang w:val="en-GB"/>
        </w:rPr>
      </w:pPr>
    </w:p>
    <w:p w14:paraId="799BD4C1" w14:textId="77777777" w:rsidR="00EF1DE4" w:rsidRDefault="00EF1DE4" w:rsidP="000E46B3">
      <w:pPr>
        <w:jc w:val="both"/>
        <w:rPr>
          <w:lang w:val="en-GB"/>
        </w:rPr>
      </w:pPr>
    </w:p>
    <w:p w14:paraId="65478473" w14:textId="77777777" w:rsidR="00EF1DE4" w:rsidRDefault="00EF1DE4" w:rsidP="000E46B3">
      <w:pPr>
        <w:jc w:val="both"/>
        <w:rPr>
          <w:lang w:val="en-GB"/>
        </w:rPr>
      </w:pPr>
    </w:p>
    <w:p w14:paraId="3C62C632" w14:textId="77777777" w:rsidR="00EF1DE4" w:rsidRDefault="00EF1DE4" w:rsidP="000E46B3">
      <w:pPr>
        <w:jc w:val="both"/>
        <w:rPr>
          <w:lang w:val="en-GB"/>
        </w:rPr>
      </w:pPr>
    </w:p>
    <w:p w14:paraId="073C3A87" w14:textId="77777777" w:rsidR="00EF1DE4" w:rsidRDefault="00EF1DE4" w:rsidP="000E46B3">
      <w:pPr>
        <w:jc w:val="both"/>
        <w:rPr>
          <w:lang w:val="en-GB"/>
        </w:rPr>
      </w:pPr>
    </w:p>
    <w:p w14:paraId="46FC43AA" w14:textId="77777777" w:rsidR="00EF1DE4" w:rsidRDefault="00EF1DE4" w:rsidP="000E46B3">
      <w:pPr>
        <w:jc w:val="both"/>
        <w:rPr>
          <w:lang w:val="en-GB"/>
        </w:rPr>
      </w:pPr>
    </w:p>
    <w:p w14:paraId="2192C29B" w14:textId="77777777" w:rsidR="00EF1DE4" w:rsidRDefault="00EF1DE4" w:rsidP="000E46B3">
      <w:pPr>
        <w:jc w:val="both"/>
        <w:rPr>
          <w:lang w:val="en-GB"/>
        </w:rPr>
      </w:pPr>
    </w:p>
    <w:p w14:paraId="42E558A5" w14:textId="77777777" w:rsidR="00EF1DE4" w:rsidRDefault="00EF1DE4" w:rsidP="000E46B3">
      <w:pPr>
        <w:jc w:val="both"/>
        <w:rPr>
          <w:lang w:val="en-GB"/>
        </w:rPr>
      </w:pPr>
    </w:p>
    <w:p w14:paraId="0AF8317B" w14:textId="77777777" w:rsidR="00EF1DE4" w:rsidRDefault="00EF1DE4" w:rsidP="000E46B3">
      <w:pPr>
        <w:jc w:val="both"/>
        <w:rPr>
          <w:lang w:val="en-GB"/>
        </w:rPr>
      </w:pPr>
    </w:p>
    <w:p w14:paraId="7B155999" w14:textId="77777777" w:rsidR="00EF1DE4" w:rsidRDefault="00EF1DE4" w:rsidP="000E46B3">
      <w:pPr>
        <w:jc w:val="both"/>
        <w:rPr>
          <w:lang w:val="en-GB"/>
        </w:rPr>
      </w:pPr>
    </w:p>
    <w:p w14:paraId="1BA9D614" w14:textId="77777777" w:rsidR="00EF1DE4" w:rsidRDefault="00EF1DE4" w:rsidP="000E46B3">
      <w:pPr>
        <w:jc w:val="both"/>
        <w:rPr>
          <w:lang w:val="en-GB"/>
        </w:rPr>
      </w:pPr>
    </w:p>
    <w:p w14:paraId="0988FBBC" w14:textId="77777777" w:rsidR="00EF1DE4" w:rsidRDefault="00EF1DE4" w:rsidP="000E46B3">
      <w:pPr>
        <w:jc w:val="both"/>
        <w:rPr>
          <w:lang w:val="en-GB"/>
        </w:rPr>
      </w:pPr>
    </w:p>
    <w:p w14:paraId="6C195DB0" w14:textId="77777777" w:rsidR="00EF1DE4" w:rsidRDefault="00EF1DE4" w:rsidP="000E46B3">
      <w:pPr>
        <w:jc w:val="both"/>
        <w:rPr>
          <w:lang w:val="en-GB"/>
        </w:rPr>
      </w:pPr>
    </w:p>
    <w:p w14:paraId="498FC5BA" w14:textId="77777777" w:rsidR="00EF1DE4" w:rsidRDefault="00EF1DE4" w:rsidP="000E46B3">
      <w:pPr>
        <w:jc w:val="both"/>
        <w:rPr>
          <w:lang w:val="en-GB"/>
        </w:rPr>
      </w:pPr>
    </w:p>
    <w:p w14:paraId="658B117F" w14:textId="77777777" w:rsidR="00EF1DE4" w:rsidRDefault="00EF1DE4" w:rsidP="000E46B3">
      <w:pPr>
        <w:jc w:val="both"/>
        <w:rPr>
          <w:lang w:val="en-GB"/>
        </w:rPr>
      </w:pPr>
    </w:p>
    <w:p w14:paraId="4820A504" w14:textId="77777777" w:rsidR="00EF1DE4" w:rsidRDefault="00EF1DE4" w:rsidP="000E46B3">
      <w:pPr>
        <w:jc w:val="both"/>
        <w:rPr>
          <w:lang w:val="en-GB"/>
        </w:rPr>
      </w:pPr>
    </w:p>
    <w:p w14:paraId="437F8E6E" w14:textId="77777777" w:rsidR="00EF1DE4" w:rsidRDefault="00EF1DE4" w:rsidP="000E46B3">
      <w:pPr>
        <w:jc w:val="both"/>
        <w:rPr>
          <w:lang w:val="en-GB"/>
        </w:rPr>
      </w:pPr>
    </w:p>
    <w:p w14:paraId="69D5E704" w14:textId="77777777" w:rsidR="00EF1DE4" w:rsidRDefault="00EF1DE4" w:rsidP="000E46B3">
      <w:pPr>
        <w:jc w:val="both"/>
        <w:rPr>
          <w:lang w:val="en-GB"/>
        </w:rPr>
      </w:pPr>
    </w:p>
    <w:p w14:paraId="50279FC4" w14:textId="77777777" w:rsidR="00EF1DE4" w:rsidRDefault="00EF1DE4" w:rsidP="000E46B3">
      <w:pPr>
        <w:jc w:val="both"/>
        <w:rPr>
          <w:lang w:val="en-GB"/>
        </w:rPr>
      </w:pPr>
    </w:p>
    <w:p w14:paraId="0D6B6E68" w14:textId="77777777" w:rsidR="00EF1DE4" w:rsidRDefault="00EF1DE4" w:rsidP="000E46B3">
      <w:pPr>
        <w:jc w:val="both"/>
        <w:rPr>
          <w:lang w:val="en-GB"/>
        </w:rPr>
      </w:pPr>
    </w:p>
    <w:p w14:paraId="1235BEFD" w14:textId="77777777" w:rsidR="00EF1DE4" w:rsidRDefault="00EF1DE4" w:rsidP="000E46B3">
      <w:pPr>
        <w:jc w:val="both"/>
        <w:rPr>
          <w:lang w:val="en-GB"/>
        </w:rPr>
      </w:pPr>
    </w:p>
    <w:p w14:paraId="3CBA8DD3" w14:textId="77777777" w:rsidR="00EF1DE4" w:rsidRDefault="00EF1DE4" w:rsidP="000E46B3">
      <w:pPr>
        <w:jc w:val="both"/>
        <w:rPr>
          <w:lang w:val="en-GB"/>
        </w:rPr>
      </w:pPr>
    </w:p>
    <w:p w14:paraId="197B8D85" w14:textId="77777777" w:rsidR="003962FF" w:rsidRPr="003962FF" w:rsidRDefault="003962FF" w:rsidP="003962FF">
      <w:pPr>
        <w:jc w:val="both"/>
      </w:pPr>
      <w:r w:rsidRPr="003962FF">
        <w:rPr>
          <w:b/>
        </w:rPr>
        <w:lastRenderedPageBreak/>
        <w:t>El principio de minimización de datos: una estrategia para reforzar la protección de la información en el personal sanitario y no sanitario</w:t>
      </w:r>
    </w:p>
    <w:p w14:paraId="33F0EEE0" w14:textId="77777777" w:rsidR="003962FF" w:rsidRPr="003962FF" w:rsidRDefault="003962FF" w:rsidP="003962FF">
      <w:pPr>
        <w:jc w:val="both"/>
        <w:rPr>
          <w:b/>
        </w:rPr>
      </w:pPr>
      <w:r w:rsidRPr="003962FF">
        <w:rPr>
          <w:b/>
        </w:rPr>
        <w:t>Introducción</w:t>
      </w:r>
    </w:p>
    <w:p w14:paraId="3D08CCC2" w14:textId="77777777" w:rsidR="003962FF" w:rsidRPr="003962FF" w:rsidRDefault="003962FF" w:rsidP="003962FF">
      <w:pPr>
        <w:jc w:val="both"/>
      </w:pPr>
      <w:r w:rsidRPr="003962FF">
        <w:t>La transformación digital ha incrementado la cantidad de información personal que las organizaciones gestionan cada día. En el ámbito sanitario, además de los datos identificativos, se tratan categorías especialmente sensibles como antecedentes médicos, pruebas diagnósticas y tratamientos. Paralelamente, el personal no sanitario maneja información administrativa, laboral, económica y de gestión que también requiere elevados niveles de protección.</w:t>
      </w:r>
    </w:p>
    <w:p w14:paraId="15A40FF6" w14:textId="77777777" w:rsidR="003962FF" w:rsidRPr="003962FF" w:rsidRDefault="003962FF" w:rsidP="003962FF">
      <w:pPr>
        <w:jc w:val="both"/>
      </w:pPr>
      <w:r w:rsidRPr="003962FF">
        <w:t>Uno de los principios fundamentales de la normativa sobre protección de datos es la minimización de datos, que establece que únicamente deben recogerse, consultarse y tratarse aquellos datos personales que sean adecuados, pertinentes y estrictamente necesarios para la finalidad prevista. La aplicación de este principio reduce la exposición de la información y disminuye el riesgo de accesos indebidos o de tratamientos innecesarios.</w:t>
      </w:r>
    </w:p>
    <w:p w14:paraId="52050FE8" w14:textId="77777777" w:rsidR="003962FF" w:rsidRPr="003962FF" w:rsidRDefault="003962FF" w:rsidP="003962FF">
      <w:pPr>
        <w:jc w:val="both"/>
      </w:pPr>
      <w:r w:rsidRPr="003962FF">
        <w:t>El cumplimiento de este criterio depende tanto de las medidas organizativas implantadas como de la actuación responsable de todos los profesionales que acceden a la información.</w:t>
      </w:r>
    </w:p>
    <w:p w14:paraId="27401252" w14:textId="77777777" w:rsidR="003962FF" w:rsidRPr="003962FF" w:rsidRDefault="003962FF" w:rsidP="003962FF">
      <w:pPr>
        <w:jc w:val="both"/>
        <w:rPr>
          <w:b/>
        </w:rPr>
      </w:pPr>
      <w:r w:rsidRPr="003962FF">
        <w:rPr>
          <w:b/>
        </w:rPr>
        <w:t>Objetivo</w:t>
      </w:r>
    </w:p>
    <w:p w14:paraId="600BA1DD" w14:textId="77777777" w:rsidR="003962FF" w:rsidRPr="003962FF" w:rsidRDefault="003962FF" w:rsidP="003962FF">
      <w:pPr>
        <w:jc w:val="both"/>
      </w:pPr>
      <w:r w:rsidRPr="003962FF">
        <w:t>Analizar la importancia del principio de minimización de datos y describir las buenas prácticas que deben aplicar el personal sanitario y no sanitario para garantizar un tratamiento responsable de la información personal.</w:t>
      </w:r>
    </w:p>
    <w:p w14:paraId="394D7F77" w14:textId="77777777" w:rsidR="003962FF" w:rsidRPr="003962FF" w:rsidRDefault="003962FF" w:rsidP="003962FF">
      <w:pPr>
        <w:jc w:val="both"/>
        <w:rPr>
          <w:b/>
        </w:rPr>
      </w:pPr>
      <w:r w:rsidRPr="003962FF">
        <w:rPr>
          <w:b/>
        </w:rPr>
        <w:t>Material y método</w:t>
      </w:r>
    </w:p>
    <w:p w14:paraId="6D1FCC73" w14:textId="77777777" w:rsidR="003962FF" w:rsidRPr="003962FF" w:rsidRDefault="003962FF" w:rsidP="003962FF">
      <w:pPr>
        <w:jc w:val="both"/>
      </w:pPr>
      <w:r w:rsidRPr="003962FF">
        <w:t xml:space="preserve">Se realizó una revisión bibliográfica descriptiva mediante la consulta de artículos científicos, normativa europea y nacional, así como documentos técnicos publicados entre 2018 y 2025. Se revisaron las bases de datos PubMed, </w:t>
      </w:r>
      <w:proofErr w:type="spellStart"/>
      <w:r w:rsidRPr="003962FF">
        <w:t>Scopus</w:t>
      </w:r>
      <w:proofErr w:type="spellEnd"/>
      <w:r w:rsidRPr="003962FF">
        <w:t xml:space="preserve"> y Google Scholar, además de las publicaciones de organismos especializados en privacidad, protección de datos y seguridad de la información.</w:t>
      </w:r>
    </w:p>
    <w:p w14:paraId="77F337E8" w14:textId="77777777" w:rsidR="003962FF" w:rsidRPr="003962FF" w:rsidRDefault="003962FF" w:rsidP="003962FF">
      <w:pPr>
        <w:jc w:val="both"/>
      </w:pPr>
      <w:r w:rsidRPr="003962FF">
        <w:t>Se seleccionaron documentos relacionados con los principios del tratamiento de datos, control de accesos, confidencialidad y gestión de la información en organizaciones sanitarias.</w:t>
      </w:r>
    </w:p>
    <w:p w14:paraId="48B4C148" w14:textId="77777777" w:rsidR="003962FF" w:rsidRPr="003962FF" w:rsidRDefault="003962FF" w:rsidP="003962FF">
      <w:pPr>
        <w:jc w:val="both"/>
        <w:rPr>
          <w:b/>
        </w:rPr>
      </w:pPr>
      <w:r w:rsidRPr="003962FF">
        <w:rPr>
          <w:b/>
        </w:rPr>
        <w:t>Resultados</w:t>
      </w:r>
    </w:p>
    <w:p w14:paraId="5967C6B0" w14:textId="77777777" w:rsidR="003962FF" w:rsidRPr="003962FF" w:rsidRDefault="003962FF" w:rsidP="003962FF">
      <w:pPr>
        <w:jc w:val="both"/>
      </w:pPr>
      <w:r w:rsidRPr="003962FF">
        <w:t>La literatura científica demuestra que limitar el acceso a la información exclusivamente a los datos necesarios para el desempeño de las funciones profesionales constituye una de las medidas más eficaces para prevenir vulneraciones de la privacidad.</w:t>
      </w:r>
    </w:p>
    <w:p w14:paraId="7D3E3E7A" w14:textId="77777777" w:rsidR="003962FF" w:rsidRPr="003962FF" w:rsidRDefault="003962FF" w:rsidP="003962FF">
      <w:pPr>
        <w:jc w:val="both"/>
      </w:pPr>
      <w:r w:rsidRPr="003962FF">
        <w:lastRenderedPageBreak/>
        <w:t>Los estudios indican que los sistemas de control de accesos basados en perfiles profesionales reducen significativamente el riesgo de consultas injustificadas y mejoran la trazabilidad de las actuaciones realizadas sobre la información.</w:t>
      </w:r>
    </w:p>
    <w:p w14:paraId="57EFC7C7" w14:textId="77777777" w:rsidR="003962FF" w:rsidRPr="003962FF" w:rsidRDefault="003962FF" w:rsidP="003962FF">
      <w:pPr>
        <w:jc w:val="both"/>
      </w:pPr>
      <w:r w:rsidRPr="003962FF">
        <w:t>En el personal sanitario, el principio de minimización implica consultar únicamente los datos clínicos necesarios para proporcionar una atención adecuada, evitando accesos motivados por curiosidad o por razones ajenas a la actividad asistencial. En el personal no sanitario, este principio se aplica durante la gestión de citas, documentación administrativa, expedientes laborales, facturación o cualquier otro procedimiento que implique el tratamiento de información personal.</w:t>
      </w:r>
    </w:p>
    <w:p w14:paraId="24D00811" w14:textId="77777777" w:rsidR="003962FF" w:rsidRPr="003962FF" w:rsidRDefault="003962FF" w:rsidP="003962FF">
      <w:pPr>
        <w:jc w:val="both"/>
      </w:pPr>
      <w:r w:rsidRPr="003962FF">
        <w:t>La revisión también destaca la importancia de evitar la duplicación innecesaria de documentos, limitar la impresión de información confidencial y revisar periódicamente los permisos de acceso a las aplicaciones corporativas.</w:t>
      </w:r>
    </w:p>
    <w:p w14:paraId="5BD247CB" w14:textId="77777777" w:rsidR="003962FF" w:rsidRPr="003962FF" w:rsidRDefault="003962FF" w:rsidP="003962FF">
      <w:pPr>
        <w:jc w:val="both"/>
      </w:pPr>
      <w:r w:rsidRPr="003962FF">
        <w:t>Asimismo, la formación continuada en protección de datos favorece una mayor concienciación sobre la importancia de utilizar la información de forma responsable y conforme a los principios de licitud, necesidad y proporcionalidad.</w:t>
      </w:r>
    </w:p>
    <w:p w14:paraId="2D192BDC" w14:textId="77777777" w:rsidR="003962FF" w:rsidRPr="003962FF" w:rsidRDefault="003962FF" w:rsidP="003962FF">
      <w:pPr>
        <w:jc w:val="both"/>
        <w:rPr>
          <w:b/>
        </w:rPr>
      </w:pPr>
      <w:r w:rsidRPr="003962FF">
        <w:rPr>
          <w:b/>
        </w:rPr>
        <w:t>Conclusiones</w:t>
      </w:r>
    </w:p>
    <w:p w14:paraId="39B46D17" w14:textId="77777777" w:rsidR="003962FF" w:rsidRPr="003962FF" w:rsidRDefault="003962FF" w:rsidP="003962FF">
      <w:pPr>
        <w:jc w:val="both"/>
      </w:pPr>
      <w:r w:rsidRPr="003962FF">
        <w:t>El principio de minimización de datos constituye una herramienta esencial para garantizar la privacidad y la seguridad de la información gestionada por el personal sanitario y no sanitario.</w:t>
      </w:r>
    </w:p>
    <w:p w14:paraId="59C9E0D9" w14:textId="77777777" w:rsidR="003962FF" w:rsidRPr="003962FF" w:rsidRDefault="003962FF" w:rsidP="003962FF">
      <w:pPr>
        <w:jc w:val="both"/>
      </w:pPr>
      <w:r w:rsidRPr="003962FF">
        <w:t>La limitación del acceso a la información estrictamente necesaria, junto con una adecuada gestión de los permisos y una cultura de responsabilidad profesional, reduce el riesgo de incidentes relacionados con la protección de datos.</w:t>
      </w:r>
    </w:p>
    <w:p w14:paraId="30C3C857" w14:textId="77777777" w:rsidR="003962FF" w:rsidRPr="003962FF" w:rsidRDefault="003962FF" w:rsidP="003962FF">
      <w:pPr>
        <w:jc w:val="both"/>
      </w:pPr>
      <w:r w:rsidRPr="003962FF">
        <w:t>Las organizaciones deben promover políticas de acceso seguro, formación continua y supervisión periódica de los tratamientos de información para asegurar el cumplimiento de la normativa vigente y reforzar la confianza de pacientes, usuarios y trabajadores.</w:t>
      </w:r>
    </w:p>
    <w:p w14:paraId="61E96D79" w14:textId="77777777" w:rsidR="003962FF" w:rsidRPr="003962FF" w:rsidRDefault="003962FF" w:rsidP="003962FF">
      <w:pPr>
        <w:jc w:val="both"/>
        <w:rPr>
          <w:b/>
        </w:rPr>
      </w:pPr>
      <w:r w:rsidRPr="003962FF">
        <w:rPr>
          <w:b/>
        </w:rPr>
        <w:t>Bibliografía</w:t>
      </w:r>
    </w:p>
    <w:p w14:paraId="531999D1" w14:textId="77777777" w:rsidR="003962FF" w:rsidRPr="003962FF" w:rsidRDefault="003962FF" w:rsidP="003962FF">
      <w:pPr>
        <w:numPr>
          <w:ilvl w:val="0"/>
          <w:numId w:val="67"/>
        </w:numPr>
        <w:jc w:val="both"/>
      </w:pPr>
      <w:r w:rsidRPr="003962FF">
        <w:t xml:space="preserve">Parlamento Europeo. (2016). *Reglamento (UE) 2016/679 del Parlamento Europeo y del Consejo (Reglamento General de Protección de </w:t>
      </w:r>
      <w:proofErr w:type="gramStart"/>
      <w:r w:rsidRPr="003962FF">
        <w:t>Datos)*</w:t>
      </w:r>
      <w:proofErr w:type="gramEnd"/>
      <w:r w:rsidRPr="003962FF">
        <w:t>.</w:t>
      </w:r>
    </w:p>
    <w:p w14:paraId="182EBF1E" w14:textId="77777777" w:rsidR="003962FF" w:rsidRPr="003962FF" w:rsidRDefault="003962FF" w:rsidP="003962FF">
      <w:pPr>
        <w:numPr>
          <w:ilvl w:val="0"/>
          <w:numId w:val="67"/>
        </w:numPr>
        <w:jc w:val="both"/>
      </w:pPr>
      <w:r w:rsidRPr="003962FF">
        <w:t>Agencia Española de Protección de Datos. (2024). *Guía del Reglamento General de Protección de Datos para responsables y encargados del tratamiento*.</w:t>
      </w:r>
    </w:p>
    <w:p w14:paraId="5466B3B8" w14:textId="77777777" w:rsidR="003962FF" w:rsidRPr="003962FF" w:rsidRDefault="003962FF" w:rsidP="003962FF">
      <w:pPr>
        <w:numPr>
          <w:ilvl w:val="0"/>
          <w:numId w:val="67"/>
        </w:numPr>
        <w:jc w:val="both"/>
        <w:rPr>
          <w:lang w:val="en-GB"/>
        </w:rPr>
      </w:pPr>
      <w:r w:rsidRPr="003962FF">
        <w:t xml:space="preserve">Comité Europeo de Protección de Datos. </w:t>
      </w:r>
      <w:r w:rsidRPr="003962FF">
        <w:rPr>
          <w:lang w:val="en-GB"/>
        </w:rPr>
        <w:t>(2023). *Guidelines on the Principles Relating to Processing of Personal Data*.</w:t>
      </w:r>
    </w:p>
    <w:p w14:paraId="0309812D" w14:textId="77777777" w:rsidR="003962FF" w:rsidRPr="003962FF" w:rsidRDefault="003962FF" w:rsidP="003962FF">
      <w:pPr>
        <w:numPr>
          <w:ilvl w:val="0"/>
          <w:numId w:val="67"/>
        </w:numPr>
        <w:jc w:val="both"/>
      </w:pPr>
      <w:r w:rsidRPr="003962FF">
        <w:t>Instituto Nacional de Ciberseguridad. (2024). *Buenas prácticas para la gestión segura de la información*.</w:t>
      </w:r>
    </w:p>
    <w:p w14:paraId="1EAD3AF8" w14:textId="77777777" w:rsidR="003962FF" w:rsidRPr="003962FF" w:rsidRDefault="003962FF" w:rsidP="003962FF">
      <w:pPr>
        <w:numPr>
          <w:ilvl w:val="0"/>
          <w:numId w:val="67"/>
        </w:numPr>
        <w:jc w:val="both"/>
      </w:pPr>
      <w:r w:rsidRPr="003962FF">
        <w:rPr>
          <w:lang w:val="en-GB"/>
        </w:rPr>
        <w:lastRenderedPageBreak/>
        <w:t xml:space="preserve">Kuner, C., Bygrave, L. A., &amp; </w:t>
      </w:r>
      <w:proofErr w:type="spellStart"/>
      <w:r w:rsidRPr="003962FF">
        <w:rPr>
          <w:lang w:val="en-GB"/>
        </w:rPr>
        <w:t>Docksey</w:t>
      </w:r>
      <w:proofErr w:type="spellEnd"/>
      <w:r w:rsidRPr="003962FF">
        <w:rPr>
          <w:lang w:val="en-GB"/>
        </w:rPr>
        <w:t xml:space="preserve">, C. (Eds.). (2020). *The EU General Data Protection Regulation (GDPR): A Commentary*. </w:t>
      </w:r>
      <w:r w:rsidRPr="003962FF">
        <w:t xml:space="preserve">Oxford </w:t>
      </w:r>
      <w:proofErr w:type="spellStart"/>
      <w:r w:rsidRPr="003962FF">
        <w:t>University</w:t>
      </w:r>
      <w:proofErr w:type="spellEnd"/>
      <w:r w:rsidRPr="003962FF">
        <w:t xml:space="preserve"> Press.</w:t>
      </w:r>
    </w:p>
    <w:p w14:paraId="3EA3E57F" w14:textId="77777777" w:rsidR="00EF1DE4" w:rsidRDefault="00EF1DE4" w:rsidP="000E46B3">
      <w:pPr>
        <w:jc w:val="both"/>
        <w:rPr>
          <w:lang w:val="en-GB"/>
        </w:rPr>
      </w:pPr>
    </w:p>
    <w:p w14:paraId="629DCCE6" w14:textId="77777777" w:rsidR="003962FF" w:rsidRDefault="003962FF" w:rsidP="000E46B3">
      <w:pPr>
        <w:jc w:val="both"/>
        <w:rPr>
          <w:lang w:val="en-GB"/>
        </w:rPr>
      </w:pPr>
    </w:p>
    <w:p w14:paraId="250CB3C2" w14:textId="77777777" w:rsidR="003962FF" w:rsidRDefault="003962FF" w:rsidP="000E46B3">
      <w:pPr>
        <w:jc w:val="both"/>
        <w:rPr>
          <w:lang w:val="en-GB"/>
        </w:rPr>
      </w:pPr>
    </w:p>
    <w:p w14:paraId="34DD4EB9" w14:textId="77777777" w:rsidR="003962FF" w:rsidRDefault="003962FF" w:rsidP="000E46B3">
      <w:pPr>
        <w:jc w:val="both"/>
        <w:rPr>
          <w:lang w:val="en-GB"/>
        </w:rPr>
      </w:pPr>
    </w:p>
    <w:p w14:paraId="11DCE6BA" w14:textId="77777777" w:rsidR="003962FF" w:rsidRDefault="003962FF" w:rsidP="000E46B3">
      <w:pPr>
        <w:jc w:val="both"/>
        <w:rPr>
          <w:lang w:val="en-GB"/>
        </w:rPr>
      </w:pPr>
    </w:p>
    <w:p w14:paraId="3885B0DF" w14:textId="77777777" w:rsidR="003962FF" w:rsidRDefault="003962FF" w:rsidP="000E46B3">
      <w:pPr>
        <w:jc w:val="both"/>
        <w:rPr>
          <w:lang w:val="en-GB"/>
        </w:rPr>
      </w:pPr>
    </w:p>
    <w:p w14:paraId="3CCD62F0" w14:textId="77777777" w:rsidR="003962FF" w:rsidRDefault="003962FF" w:rsidP="000E46B3">
      <w:pPr>
        <w:jc w:val="both"/>
        <w:rPr>
          <w:lang w:val="en-GB"/>
        </w:rPr>
      </w:pPr>
    </w:p>
    <w:p w14:paraId="35C2505B" w14:textId="77777777" w:rsidR="003962FF" w:rsidRDefault="003962FF" w:rsidP="000E46B3">
      <w:pPr>
        <w:jc w:val="both"/>
        <w:rPr>
          <w:lang w:val="en-GB"/>
        </w:rPr>
      </w:pPr>
    </w:p>
    <w:p w14:paraId="3C306CBA" w14:textId="77777777" w:rsidR="003962FF" w:rsidRDefault="003962FF" w:rsidP="000E46B3">
      <w:pPr>
        <w:jc w:val="both"/>
        <w:rPr>
          <w:lang w:val="en-GB"/>
        </w:rPr>
      </w:pPr>
    </w:p>
    <w:p w14:paraId="1B608056" w14:textId="77777777" w:rsidR="003962FF" w:rsidRDefault="003962FF" w:rsidP="000E46B3">
      <w:pPr>
        <w:jc w:val="both"/>
        <w:rPr>
          <w:lang w:val="en-GB"/>
        </w:rPr>
      </w:pPr>
    </w:p>
    <w:p w14:paraId="7CBD255B" w14:textId="77777777" w:rsidR="003962FF" w:rsidRDefault="003962FF" w:rsidP="000E46B3">
      <w:pPr>
        <w:jc w:val="both"/>
        <w:rPr>
          <w:lang w:val="en-GB"/>
        </w:rPr>
      </w:pPr>
    </w:p>
    <w:p w14:paraId="19CE88D0" w14:textId="77777777" w:rsidR="003962FF" w:rsidRDefault="003962FF" w:rsidP="000E46B3">
      <w:pPr>
        <w:jc w:val="both"/>
        <w:rPr>
          <w:lang w:val="en-GB"/>
        </w:rPr>
      </w:pPr>
    </w:p>
    <w:p w14:paraId="31B7A72B" w14:textId="77777777" w:rsidR="003962FF" w:rsidRDefault="003962FF" w:rsidP="000E46B3">
      <w:pPr>
        <w:jc w:val="both"/>
        <w:rPr>
          <w:lang w:val="en-GB"/>
        </w:rPr>
      </w:pPr>
    </w:p>
    <w:p w14:paraId="06D11DC4" w14:textId="77777777" w:rsidR="003962FF" w:rsidRDefault="003962FF" w:rsidP="000E46B3">
      <w:pPr>
        <w:jc w:val="both"/>
        <w:rPr>
          <w:lang w:val="en-GB"/>
        </w:rPr>
      </w:pPr>
    </w:p>
    <w:p w14:paraId="19AE1D20" w14:textId="77777777" w:rsidR="003962FF" w:rsidRDefault="003962FF" w:rsidP="000E46B3">
      <w:pPr>
        <w:jc w:val="both"/>
        <w:rPr>
          <w:lang w:val="en-GB"/>
        </w:rPr>
      </w:pPr>
    </w:p>
    <w:p w14:paraId="61DC59AF" w14:textId="77777777" w:rsidR="003962FF" w:rsidRDefault="003962FF" w:rsidP="000E46B3">
      <w:pPr>
        <w:jc w:val="both"/>
        <w:rPr>
          <w:lang w:val="en-GB"/>
        </w:rPr>
      </w:pPr>
    </w:p>
    <w:p w14:paraId="3294DCA0" w14:textId="77777777" w:rsidR="003962FF" w:rsidRDefault="003962FF" w:rsidP="000E46B3">
      <w:pPr>
        <w:jc w:val="both"/>
        <w:rPr>
          <w:lang w:val="en-GB"/>
        </w:rPr>
      </w:pPr>
    </w:p>
    <w:p w14:paraId="2EE98726" w14:textId="77777777" w:rsidR="003962FF" w:rsidRDefault="003962FF" w:rsidP="000E46B3">
      <w:pPr>
        <w:jc w:val="both"/>
        <w:rPr>
          <w:lang w:val="en-GB"/>
        </w:rPr>
      </w:pPr>
    </w:p>
    <w:p w14:paraId="24233C50" w14:textId="77777777" w:rsidR="003962FF" w:rsidRDefault="003962FF" w:rsidP="000E46B3">
      <w:pPr>
        <w:jc w:val="both"/>
        <w:rPr>
          <w:lang w:val="en-GB"/>
        </w:rPr>
      </w:pPr>
    </w:p>
    <w:p w14:paraId="44BF4557" w14:textId="77777777" w:rsidR="003962FF" w:rsidRDefault="003962FF" w:rsidP="000E46B3">
      <w:pPr>
        <w:jc w:val="both"/>
        <w:rPr>
          <w:lang w:val="en-GB"/>
        </w:rPr>
      </w:pPr>
    </w:p>
    <w:p w14:paraId="7422246E" w14:textId="77777777" w:rsidR="003962FF" w:rsidRDefault="003962FF" w:rsidP="000E46B3">
      <w:pPr>
        <w:jc w:val="both"/>
        <w:rPr>
          <w:lang w:val="en-GB"/>
        </w:rPr>
      </w:pPr>
    </w:p>
    <w:p w14:paraId="14D869E7" w14:textId="77777777" w:rsidR="003962FF" w:rsidRDefault="003962FF" w:rsidP="000E46B3">
      <w:pPr>
        <w:jc w:val="both"/>
        <w:rPr>
          <w:lang w:val="en-GB"/>
        </w:rPr>
      </w:pPr>
    </w:p>
    <w:p w14:paraId="7F28CB2D" w14:textId="77777777" w:rsidR="003962FF" w:rsidRDefault="003962FF" w:rsidP="000E46B3">
      <w:pPr>
        <w:jc w:val="both"/>
        <w:rPr>
          <w:lang w:val="en-GB"/>
        </w:rPr>
      </w:pPr>
    </w:p>
    <w:p w14:paraId="462F6103" w14:textId="77777777" w:rsidR="003962FF" w:rsidRDefault="003962FF" w:rsidP="000E46B3">
      <w:pPr>
        <w:jc w:val="both"/>
        <w:rPr>
          <w:lang w:val="en-GB"/>
        </w:rPr>
      </w:pPr>
    </w:p>
    <w:p w14:paraId="5C11ED29" w14:textId="77777777" w:rsidR="003962FF" w:rsidRDefault="003962FF" w:rsidP="000E46B3">
      <w:pPr>
        <w:jc w:val="both"/>
        <w:rPr>
          <w:lang w:val="en-GB"/>
        </w:rPr>
      </w:pPr>
    </w:p>
    <w:p w14:paraId="1BAFBA65" w14:textId="77777777" w:rsidR="003962FF" w:rsidRDefault="003962FF" w:rsidP="000E46B3">
      <w:pPr>
        <w:jc w:val="both"/>
        <w:rPr>
          <w:lang w:val="en-GB"/>
        </w:rPr>
      </w:pPr>
    </w:p>
    <w:p w14:paraId="33BF87F9" w14:textId="77777777" w:rsidR="00B573B3" w:rsidRPr="00B573B3" w:rsidRDefault="00B573B3" w:rsidP="00B573B3">
      <w:pPr>
        <w:jc w:val="both"/>
      </w:pPr>
      <w:r w:rsidRPr="00B573B3">
        <w:rPr>
          <w:b/>
        </w:rPr>
        <w:lastRenderedPageBreak/>
        <w:t>Adherencia a la higiene de manos: un compromiso compartido para la seguridad del personal sanitario y no sanitario</w:t>
      </w:r>
    </w:p>
    <w:p w14:paraId="55D0379E" w14:textId="77777777" w:rsidR="00B573B3" w:rsidRPr="00B573B3" w:rsidRDefault="00B573B3" w:rsidP="00B573B3">
      <w:pPr>
        <w:jc w:val="both"/>
        <w:rPr>
          <w:b/>
        </w:rPr>
      </w:pPr>
      <w:r w:rsidRPr="00B573B3">
        <w:rPr>
          <w:b/>
        </w:rPr>
        <w:t>Introducción</w:t>
      </w:r>
    </w:p>
    <w:p w14:paraId="2FF29246" w14:textId="77777777" w:rsidR="00B573B3" w:rsidRPr="00B573B3" w:rsidRDefault="00B573B3" w:rsidP="00B573B3">
      <w:pPr>
        <w:jc w:val="both"/>
      </w:pPr>
      <w:r w:rsidRPr="00B573B3">
        <w:t>La higiene de manos es considerada la intervención más eficaz para prevenir la transmisión de microorganismos en los entornos asistenciales y en aquellos espacios donde confluyen múltiples profesionales, usuarios y visitantes. A pesar de la amplia evidencia científica que respalda su eficacia, el grado de cumplimiento de esta práctica continúa siendo variable, lo que pone de manifiesto la necesidad de reforzar la adherencia a los protocolos establecidos.</w:t>
      </w:r>
    </w:p>
    <w:p w14:paraId="07E25429" w14:textId="77777777" w:rsidR="00B573B3" w:rsidRPr="00B573B3" w:rsidRDefault="00B573B3" w:rsidP="00B573B3">
      <w:pPr>
        <w:jc w:val="both"/>
      </w:pPr>
      <w:r w:rsidRPr="00B573B3">
        <w:t xml:space="preserve">La responsabilidad de mantener una adecuada higiene de manos no recae únicamente sobre el </w:t>
      </w:r>
    </w:p>
    <w:p w14:paraId="10C35C60" w14:textId="77777777" w:rsidR="00B573B3" w:rsidRPr="00B573B3" w:rsidRDefault="00B573B3" w:rsidP="00B573B3">
      <w:pPr>
        <w:jc w:val="both"/>
      </w:pPr>
      <w:r w:rsidRPr="00B573B3">
        <w:t>personal sanitario. Los profesionales de administración, limpieza, lavandería, cocina, mantenimiento, celaduría y otros servicios de apoyo también desempeñan un papel esencial en la prevención de infecciones al compartir espacios, materiales y superficies con pacientes, usuarios y compañeros.</w:t>
      </w:r>
    </w:p>
    <w:p w14:paraId="31BB7A2F" w14:textId="77777777" w:rsidR="00B573B3" w:rsidRPr="00B573B3" w:rsidRDefault="00B573B3" w:rsidP="00B573B3">
      <w:pPr>
        <w:jc w:val="both"/>
      </w:pPr>
      <w:r w:rsidRPr="00B573B3">
        <w:t>La creación de una cultura de seguridad basada en el cumplimiento sistemático de las medidas preventivas favorece la protección de toda la comunidad laboral.</w:t>
      </w:r>
    </w:p>
    <w:p w14:paraId="004B3678" w14:textId="77777777" w:rsidR="00B573B3" w:rsidRPr="00B573B3" w:rsidRDefault="00B573B3" w:rsidP="00B573B3">
      <w:pPr>
        <w:jc w:val="both"/>
        <w:rPr>
          <w:b/>
        </w:rPr>
      </w:pPr>
      <w:r w:rsidRPr="00B573B3">
        <w:rPr>
          <w:b/>
        </w:rPr>
        <w:t>Objetivo</w:t>
      </w:r>
    </w:p>
    <w:p w14:paraId="60754174" w14:textId="77777777" w:rsidR="00B573B3" w:rsidRPr="00B573B3" w:rsidRDefault="00B573B3" w:rsidP="00B573B3">
      <w:pPr>
        <w:jc w:val="both"/>
      </w:pPr>
      <w:r w:rsidRPr="00B573B3">
        <w:t>Analizar los factores que influyen en la adherencia a la higiene de manos y describir estrategias para mejorar su cumplimiento entre el personal sanitario y no sanitario.</w:t>
      </w:r>
    </w:p>
    <w:p w14:paraId="0D5CF143" w14:textId="77777777" w:rsidR="00B573B3" w:rsidRPr="00B573B3" w:rsidRDefault="00B573B3" w:rsidP="00B573B3">
      <w:pPr>
        <w:jc w:val="both"/>
        <w:rPr>
          <w:b/>
        </w:rPr>
      </w:pPr>
      <w:r w:rsidRPr="00B573B3">
        <w:rPr>
          <w:b/>
        </w:rPr>
        <w:t>Material y método</w:t>
      </w:r>
    </w:p>
    <w:p w14:paraId="41A04B57" w14:textId="77777777" w:rsidR="00B573B3" w:rsidRPr="00B573B3" w:rsidRDefault="00B573B3" w:rsidP="00B573B3">
      <w:pPr>
        <w:jc w:val="both"/>
      </w:pPr>
      <w:r w:rsidRPr="00B573B3">
        <w:t xml:space="preserve">Se realizó una revisión bibliográfica descriptiva mediante la consulta de artículos científicos, revisiones sistemáticas y guías internacionales publicadas entre 2016 y 2025. Se revisaron las bases de datos PubMed, </w:t>
      </w:r>
      <w:proofErr w:type="spellStart"/>
      <w:r w:rsidRPr="00B573B3">
        <w:t>Scopus</w:t>
      </w:r>
      <w:proofErr w:type="spellEnd"/>
      <w:r w:rsidRPr="00B573B3">
        <w:t xml:space="preserve"> y Google Scholar, además de documentos elaborados por organismos especializados en prevención y control de infecciones.</w:t>
      </w:r>
    </w:p>
    <w:p w14:paraId="3D7724B1" w14:textId="77777777" w:rsidR="00B573B3" w:rsidRPr="00B573B3" w:rsidRDefault="00B573B3" w:rsidP="00B573B3">
      <w:pPr>
        <w:jc w:val="both"/>
      </w:pPr>
      <w:r w:rsidRPr="00B573B3">
        <w:t>Se incluyeron estudios relacionados con la adherencia a la higiene de manos, cambio de comportamiento, seguridad del paciente y programas institucionales de prevención.</w:t>
      </w:r>
    </w:p>
    <w:p w14:paraId="1EC77D35" w14:textId="77777777" w:rsidR="00B573B3" w:rsidRPr="00B573B3" w:rsidRDefault="00B573B3" w:rsidP="00B573B3">
      <w:pPr>
        <w:jc w:val="both"/>
        <w:rPr>
          <w:b/>
        </w:rPr>
      </w:pPr>
      <w:r w:rsidRPr="00B573B3">
        <w:rPr>
          <w:b/>
        </w:rPr>
        <w:t>Resultados</w:t>
      </w:r>
    </w:p>
    <w:p w14:paraId="661B2B19" w14:textId="77777777" w:rsidR="00B573B3" w:rsidRPr="00B573B3" w:rsidRDefault="00B573B3" w:rsidP="00B573B3">
      <w:pPr>
        <w:jc w:val="both"/>
      </w:pPr>
      <w:r w:rsidRPr="00B573B3">
        <w:t>La evidencia científica demuestra que la disponibilidad de recursos, la formación continuada y el compromiso institucional son factores determinantes para mantener elevados niveles de adherencia a la higiene de manos.</w:t>
      </w:r>
    </w:p>
    <w:p w14:paraId="3B515DE9" w14:textId="77777777" w:rsidR="00B573B3" w:rsidRPr="00B573B3" w:rsidRDefault="00B573B3" w:rsidP="00B573B3">
      <w:pPr>
        <w:jc w:val="both"/>
      </w:pPr>
      <w:r w:rsidRPr="00B573B3">
        <w:lastRenderedPageBreak/>
        <w:t>Los estudios indican que la accesibilidad a soluciones hidroalcohólicas, la correcta ubicación de los puntos de higiene y la existencia de recordatorios visuales facilitan el cumplimiento de los protocolos establecidos.</w:t>
      </w:r>
    </w:p>
    <w:p w14:paraId="3B8C88D7" w14:textId="77777777" w:rsidR="00B573B3" w:rsidRPr="00B573B3" w:rsidRDefault="00B573B3" w:rsidP="00B573B3">
      <w:pPr>
        <w:jc w:val="both"/>
      </w:pPr>
      <w:r w:rsidRPr="00B573B3">
        <w:t>En el personal sanitario, la adherencia aumenta cuando se integra la higiene de manos como parte inseparable de cada procedimiento asistencial. En el personal no sanitario, la incorporación de este hábito antes y después de actividades relacionadas con la manipulación de materiales, residuos, alimentos, documentación compartida o superficies de uso frecuente contribuye igualmente a disminuir la transmisión de microorganismos.</w:t>
      </w:r>
    </w:p>
    <w:p w14:paraId="196A67BD" w14:textId="77777777" w:rsidR="00B573B3" w:rsidRPr="00B573B3" w:rsidRDefault="00B573B3" w:rsidP="00B573B3">
      <w:pPr>
        <w:jc w:val="both"/>
      </w:pPr>
      <w:r w:rsidRPr="00B573B3">
        <w:t>La literatura científica destaca que las auditorías periódicas, la retroalimentación de resultados y las campañas de sensibilización favorecen una mejora sostenida del cumplimiento. Asimismo, el ejemplo ofrecido por los responsables y profesionales con experiencia influye positivamente en la adquisición de hábitos seguros por parte del resto del equipo.</w:t>
      </w:r>
    </w:p>
    <w:p w14:paraId="221A8A04" w14:textId="77777777" w:rsidR="00B573B3" w:rsidRPr="00B573B3" w:rsidRDefault="00B573B3" w:rsidP="00B573B3">
      <w:pPr>
        <w:jc w:val="both"/>
      </w:pPr>
      <w:r w:rsidRPr="00B573B3">
        <w:t>La revisión también señala que las organizaciones con una sólida cultura preventiva consiguen mantener mayores tasas de adherencia y una reducción significativa de las infecciones relacionadas con la asistencia y con el entorno laboral.</w:t>
      </w:r>
    </w:p>
    <w:p w14:paraId="6F2D7273" w14:textId="77777777" w:rsidR="00B573B3" w:rsidRPr="00B573B3" w:rsidRDefault="00B573B3" w:rsidP="00B573B3">
      <w:pPr>
        <w:jc w:val="both"/>
        <w:rPr>
          <w:b/>
        </w:rPr>
      </w:pPr>
      <w:r w:rsidRPr="00B573B3">
        <w:rPr>
          <w:b/>
        </w:rPr>
        <w:t>Conclusiones</w:t>
      </w:r>
    </w:p>
    <w:p w14:paraId="3D8C8C0E" w14:textId="77777777" w:rsidR="00B573B3" w:rsidRPr="00B573B3" w:rsidRDefault="00B573B3" w:rsidP="00B573B3">
      <w:pPr>
        <w:jc w:val="both"/>
      </w:pPr>
      <w:r w:rsidRPr="00B573B3">
        <w:t>La adherencia a la higiene de manos constituye un indicador fundamental de calidad y seguridad que implica a todo el personal sanitario y no sanitario.</w:t>
      </w:r>
    </w:p>
    <w:p w14:paraId="53E5CCAD" w14:textId="77777777" w:rsidR="00B573B3" w:rsidRPr="00B573B3" w:rsidRDefault="00B573B3" w:rsidP="00B573B3">
      <w:pPr>
        <w:jc w:val="both"/>
      </w:pPr>
      <w:r w:rsidRPr="00B573B3">
        <w:t xml:space="preserve">El mantenimiento de esta práctica depende de la combinación de formación, disponibilidad de recursos, liderazgo institucional y </w:t>
      </w:r>
      <w:proofErr w:type="gramStart"/>
      <w:r w:rsidRPr="00B573B3">
        <w:t>participación activa</w:t>
      </w:r>
      <w:proofErr w:type="gramEnd"/>
      <w:r w:rsidRPr="00B573B3">
        <w:t xml:space="preserve"> de los trabajadores.</w:t>
      </w:r>
    </w:p>
    <w:p w14:paraId="31E9EFA7" w14:textId="77777777" w:rsidR="00B573B3" w:rsidRPr="00B573B3" w:rsidRDefault="00B573B3" w:rsidP="00B573B3">
      <w:pPr>
        <w:jc w:val="both"/>
      </w:pPr>
      <w:r w:rsidRPr="00B573B3">
        <w:t>Fomentar una cultura organizativa donde la higiene de manos forme parte de la rutina diaria contribuye a proteger la salud de pacientes, usuarios, trabajadores y visitantes, reforzando la calidad de la atención y la seguridad en el entorno laboral.</w:t>
      </w:r>
    </w:p>
    <w:p w14:paraId="769B953C" w14:textId="77777777" w:rsidR="00B573B3" w:rsidRPr="00B573B3" w:rsidRDefault="00B573B3" w:rsidP="00B573B3">
      <w:pPr>
        <w:jc w:val="both"/>
        <w:rPr>
          <w:b/>
        </w:rPr>
      </w:pPr>
      <w:r w:rsidRPr="00B573B3">
        <w:rPr>
          <w:b/>
        </w:rPr>
        <w:t>Bibliografía</w:t>
      </w:r>
    </w:p>
    <w:p w14:paraId="49B90825" w14:textId="77777777" w:rsidR="00B573B3" w:rsidRPr="00B573B3" w:rsidRDefault="00B573B3" w:rsidP="00B573B3">
      <w:pPr>
        <w:numPr>
          <w:ilvl w:val="0"/>
          <w:numId w:val="68"/>
        </w:numPr>
        <w:jc w:val="both"/>
      </w:pPr>
      <w:r w:rsidRPr="00B573B3">
        <w:t xml:space="preserve">Organización Mundial de la Salud. </w:t>
      </w:r>
      <w:r w:rsidRPr="00B573B3">
        <w:rPr>
          <w:lang w:val="en-GB"/>
        </w:rPr>
        <w:t>(2023). *WHO Guidelines on Hand Hygiene in Health Care</w:t>
      </w:r>
      <w:proofErr w:type="gramStart"/>
      <w:r w:rsidRPr="00B573B3">
        <w:rPr>
          <w:lang w:val="en-GB"/>
        </w:rPr>
        <w:t>*.*</w:t>
      </w:r>
      <w:proofErr w:type="gramEnd"/>
      <w:r w:rsidRPr="00B573B3">
        <w:rPr>
          <w:lang w:val="en-GB"/>
        </w:rPr>
        <w:t xml:space="preserve"> </w:t>
      </w:r>
      <w:proofErr w:type="spellStart"/>
      <w:r w:rsidRPr="00B573B3">
        <w:rPr>
          <w:lang w:val="en-GB"/>
        </w:rPr>
        <w:t>Centers</w:t>
      </w:r>
      <w:proofErr w:type="spellEnd"/>
      <w:r w:rsidRPr="00B573B3">
        <w:rPr>
          <w:lang w:val="en-GB"/>
        </w:rPr>
        <w:t xml:space="preserve"> for Disease Control and Prevention. (2024). *Hand Hygiene in Healthcare Settings*. </w:t>
      </w:r>
      <w:r w:rsidRPr="00B573B3">
        <w:t>* Ministerio de Sanidad. (2024). *Programa de Higiene de las Manos del Sistema Nacional de Salud*.</w:t>
      </w:r>
    </w:p>
    <w:p w14:paraId="5A7A5C44" w14:textId="77777777" w:rsidR="00B573B3" w:rsidRPr="00B573B3" w:rsidRDefault="00B573B3" w:rsidP="00B573B3">
      <w:pPr>
        <w:numPr>
          <w:ilvl w:val="0"/>
          <w:numId w:val="68"/>
        </w:numPr>
        <w:jc w:val="both"/>
      </w:pPr>
      <w:r w:rsidRPr="00B573B3">
        <w:rPr>
          <w:lang w:val="en-GB"/>
        </w:rPr>
        <w:t xml:space="preserve">Didier Pittet, Allegranzi, B., et al. (2021). Improving adherence to hand hygiene practices in healthcare. </w:t>
      </w:r>
      <w:r w:rsidRPr="00B573B3">
        <w:t xml:space="preserve">*The Lancet </w:t>
      </w:r>
      <w:proofErr w:type="spellStart"/>
      <w:r w:rsidRPr="00B573B3">
        <w:t>Infectious</w:t>
      </w:r>
      <w:proofErr w:type="spellEnd"/>
      <w:r w:rsidRPr="00B573B3">
        <w:t xml:space="preserve"> </w:t>
      </w:r>
      <w:proofErr w:type="spellStart"/>
      <w:r w:rsidRPr="00B573B3">
        <w:t>Diseases</w:t>
      </w:r>
      <w:proofErr w:type="spellEnd"/>
      <w:r w:rsidRPr="00B573B3">
        <w:t>*.</w:t>
      </w:r>
    </w:p>
    <w:p w14:paraId="23327AF7" w14:textId="77777777" w:rsidR="00B573B3" w:rsidRPr="00B573B3" w:rsidRDefault="00B573B3" w:rsidP="00B573B3">
      <w:pPr>
        <w:numPr>
          <w:ilvl w:val="0"/>
          <w:numId w:val="68"/>
        </w:numPr>
        <w:jc w:val="both"/>
      </w:pPr>
      <w:r w:rsidRPr="00B573B3">
        <w:rPr>
          <w:lang w:val="en-GB"/>
        </w:rPr>
        <w:t xml:space="preserve">Erasmus, V., et al. (2010). Systematic review of studies on compliance with hand hygiene guidelines in hospital care. </w:t>
      </w:r>
      <w:r w:rsidRPr="00B573B3">
        <w:t>*</w:t>
      </w:r>
      <w:proofErr w:type="spellStart"/>
      <w:r w:rsidRPr="00B573B3">
        <w:t>Infection</w:t>
      </w:r>
      <w:proofErr w:type="spellEnd"/>
      <w:r w:rsidRPr="00B573B3">
        <w:t xml:space="preserve"> Control &amp; Hospital </w:t>
      </w:r>
      <w:proofErr w:type="spellStart"/>
      <w:r w:rsidRPr="00B573B3">
        <w:t>Epidemiology</w:t>
      </w:r>
      <w:proofErr w:type="spellEnd"/>
      <w:r w:rsidRPr="00B573B3">
        <w:t>*, 31(3), 283–294.</w:t>
      </w:r>
    </w:p>
    <w:p w14:paraId="17185835" w14:textId="77777777" w:rsidR="00876E38" w:rsidRPr="00876E38" w:rsidRDefault="00876E38" w:rsidP="00876E38">
      <w:pPr>
        <w:jc w:val="both"/>
      </w:pPr>
      <w:r w:rsidRPr="00876E38">
        <w:rPr>
          <w:b/>
        </w:rPr>
        <w:lastRenderedPageBreak/>
        <w:t>SOFT SKILLS PARA PROFESIONALES SANITARIOS Y NO SANITARIOS: HABILIDADES CLAVE PARA UNA ATENCIÓN DE CALIDAD</w:t>
      </w:r>
    </w:p>
    <w:p w14:paraId="1BFCB9E1" w14:textId="77777777" w:rsidR="00876E38" w:rsidRPr="00876E38" w:rsidRDefault="00876E38" w:rsidP="00876E38">
      <w:pPr>
        <w:jc w:val="both"/>
        <w:rPr>
          <w:b/>
        </w:rPr>
      </w:pPr>
      <w:r w:rsidRPr="00876E38">
        <w:rPr>
          <w:b/>
        </w:rPr>
        <w:t>Introducción</w:t>
      </w:r>
    </w:p>
    <w:p w14:paraId="4973B14C" w14:textId="77777777" w:rsidR="00876E38" w:rsidRPr="00876E38" w:rsidRDefault="00876E38" w:rsidP="00876E38">
      <w:pPr>
        <w:jc w:val="both"/>
      </w:pPr>
      <w:r w:rsidRPr="00876E38">
        <w:t xml:space="preserve">Las </w:t>
      </w:r>
      <w:proofErr w:type="spellStart"/>
      <w:r w:rsidRPr="00876E38">
        <w:rPr>
          <w:i/>
        </w:rPr>
        <w:t>soft</w:t>
      </w:r>
      <w:proofErr w:type="spellEnd"/>
      <w:r w:rsidRPr="00876E38">
        <w:rPr>
          <w:i/>
        </w:rPr>
        <w:t xml:space="preserve"> </w:t>
      </w:r>
      <w:proofErr w:type="spellStart"/>
      <w:r w:rsidRPr="00876E38">
        <w:rPr>
          <w:i/>
        </w:rPr>
        <w:t>skills</w:t>
      </w:r>
      <w:proofErr w:type="spellEnd"/>
      <w:r w:rsidRPr="00876E38">
        <w:t xml:space="preserve"> o habilidades blandas comprenden un conjunto de competencias personales, sociales y comunicativas que favorecen un desempeño profesional eficaz y unas relaciones interpersonales positivas. En el ámbito sanitario, estas habilidades complementan los conocimientos técnicos y resultan esenciales para proporcionar una atención segura, humanizada y centrada en la persona. Tanto el personal sanitario como el no sanitario desempeñan un papel relevante en la experiencia del paciente y en el funcionamiento de las organizaciones de salud. Competencias como la comunicación efectiva, el trabajo en equipo, la empatía, la inteligencia emocional, el liderazgo, la adaptabilidad y la resolución de conflictos contribuyen a mejorar la calidad asistencial, fortalecer la colaboración entre profesionales y favorecer un clima laboral saludable. Su desarrollo constituye una prioridad en los programas de formación y mejora continua de las instituciones sanitarias.</w:t>
      </w:r>
    </w:p>
    <w:p w14:paraId="7665922A" w14:textId="77777777" w:rsidR="00876E38" w:rsidRPr="00876E38" w:rsidRDefault="00876E38" w:rsidP="00876E38">
      <w:pPr>
        <w:jc w:val="both"/>
        <w:rPr>
          <w:b/>
        </w:rPr>
      </w:pPr>
      <w:r w:rsidRPr="00876E38">
        <w:rPr>
          <w:b/>
        </w:rPr>
        <w:t>Material y métodos</w:t>
      </w:r>
    </w:p>
    <w:p w14:paraId="31A54221" w14:textId="77777777" w:rsidR="00876E38" w:rsidRPr="00876E38" w:rsidRDefault="00876E38" w:rsidP="00876E38">
      <w:pPr>
        <w:jc w:val="both"/>
      </w:pPr>
      <w:r w:rsidRPr="00876E38">
        <w:t xml:space="preserve">Se realizó una revisión narrativa de la literatura científica sobre la importancia de las </w:t>
      </w:r>
      <w:proofErr w:type="spellStart"/>
      <w:r w:rsidRPr="00876E38">
        <w:rPr>
          <w:i/>
        </w:rPr>
        <w:t>soft</w:t>
      </w:r>
      <w:proofErr w:type="spellEnd"/>
      <w:r w:rsidRPr="00876E38">
        <w:rPr>
          <w:i/>
        </w:rPr>
        <w:t xml:space="preserve"> </w:t>
      </w:r>
      <w:proofErr w:type="spellStart"/>
      <w:r w:rsidRPr="00876E38">
        <w:rPr>
          <w:i/>
        </w:rPr>
        <w:t>skills</w:t>
      </w:r>
      <w:proofErr w:type="spellEnd"/>
      <w:r w:rsidRPr="00876E38">
        <w:t xml:space="preserve"> en el ámbito sanitario. Se consultaron artículos publicados en PubMed, </w:t>
      </w:r>
      <w:proofErr w:type="spellStart"/>
      <w:r w:rsidRPr="00876E38">
        <w:t>Scopus</w:t>
      </w:r>
      <w:proofErr w:type="spellEnd"/>
      <w:r w:rsidRPr="00876E38">
        <w:t xml:space="preserve"> y Google Scholar, así como documentos elaborados por organismos nacionales e internacionales relacionados con la calidad asistencial, la seguridad del paciente y el desarrollo profesional. La búsqueda incluyó publicaciones en español e inglés de los últimos diez años utilizando los términos "</w:t>
      </w:r>
      <w:proofErr w:type="spellStart"/>
      <w:r w:rsidRPr="00876E38">
        <w:t>soft</w:t>
      </w:r>
      <w:proofErr w:type="spellEnd"/>
      <w:r w:rsidRPr="00876E38">
        <w:t xml:space="preserve"> </w:t>
      </w:r>
      <w:proofErr w:type="spellStart"/>
      <w:r w:rsidRPr="00876E38">
        <w:t>skills</w:t>
      </w:r>
      <w:proofErr w:type="spellEnd"/>
      <w:r w:rsidRPr="00876E38">
        <w:t>", "non-</w:t>
      </w:r>
      <w:proofErr w:type="spellStart"/>
      <w:r w:rsidRPr="00876E38">
        <w:t>technical</w:t>
      </w:r>
      <w:proofErr w:type="spellEnd"/>
      <w:r w:rsidRPr="00876E38">
        <w:t xml:space="preserve"> </w:t>
      </w:r>
      <w:proofErr w:type="spellStart"/>
      <w:r w:rsidRPr="00876E38">
        <w:t>skills</w:t>
      </w:r>
      <w:proofErr w:type="spellEnd"/>
      <w:r w:rsidRPr="00876E38">
        <w:t>", "</w:t>
      </w:r>
      <w:proofErr w:type="spellStart"/>
      <w:r w:rsidRPr="00876E38">
        <w:t>healthcare</w:t>
      </w:r>
      <w:proofErr w:type="spellEnd"/>
      <w:r w:rsidRPr="00876E38">
        <w:t xml:space="preserve"> </w:t>
      </w:r>
      <w:proofErr w:type="spellStart"/>
      <w:r w:rsidRPr="00876E38">
        <w:t>professionals</w:t>
      </w:r>
      <w:proofErr w:type="spellEnd"/>
      <w:r w:rsidRPr="00876E38">
        <w:t>", "</w:t>
      </w:r>
      <w:proofErr w:type="spellStart"/>
      <w:r w:rsidRPr="00876E38">
        <w:t>communication</w:t>
      </w:r>
      <w:proofErr w:type="spellEnd"/>
      <w:r w:rsidRPr="00876E38">
        <w:t>", "</w:t>
      </w:r>
      <w:proofErr w:type="spellStart"/>
      <w:r w:rsidRPr="00876E38">
        <w:t>teamwork</w:t>
      </w:r>
      <w:proofErr w:type="spellEnd"/>
      <w:r w:rsidRPr="00876E38">
        <w:t>", "</w:t>
      </w:r>
      <w:proofErr w:type="spellStart"/>
      <w:r w:rsidRPr="00876E38">
        <w:t>leadership</w:t>
      </w:r>
      <w:proofErr w:type="spellEnd"/>
      <w:r w:rsidRPr="00876E38">
        <w:t>" y "</w:t>
      </w:r>
      <w:proofErr w:type="spellStart"/>
      <w:r w:rsidRPr="00876E38">
        <w:t>patient</w:t>
      </w:r>
      <w:proofErr w:type="spellEnd"/>
      <w:r w:rsidRPr="00876E38">
        <w:t xml:space="preserve"> safety". Asimismo, se revisaron informes y recomendaciones sobre competencias transversales aplicables tanto al personal sanitario como al no sanitario en centros asistenciales.</w:t>
      </w:r>
    </w:p>
    <w:p w14:paraId="2BE6C2FB" w14:textId="77777777" w:rsidR="00876E38" w:rsidRPr="00876E38" w:rsidRDefault="00876E38" w:rsidP="00876E38">
      <w:pPr>
        <w:jc w:val="both"/>
        <w:rPr>
          <w:b/>
        </w:rPr>
      </w:pPr>
      <w:r w:rsidRPr="00876E38">
        <w:rPr>
          <w:b/>
        </w:rPr>
        <w:t>Resultados</w:t>
      </w:r>
    </w:p>
    <w:p w14:paraId="4ED2EC9A" w14:textId="77777777" w:rsidR="00876E38" w:rsidRPr="00876E38" w:rsidRDefault="00876E38" w:rsidP="00876E38">
      <w:pPr>
        <w:jc w:val="both"/>
      </w:pPr>
      <w:r w:rsidRPr="00876E38">
        <w:t xml:space="preserve">La evidencia científica pone de manifiesto que las </w:t>
      </w:r>
      <w:proofErr w:type="spellStart"/>
      <w:r w:rsidRPr="00876E38">
        <w:rPr>
          <w:i/>
        </w:rPr>
        <w:t>soft</w:t>
      </w:r>
      <w:proofErr w:type="spellEnd"/>
      <w:r w:rsidRPr="00876E38">
        <w:rPr>
          <w:i/>
        </w:rPr>
        <w:t xml:space="preserve"> </w:t>
      </w:r>
      <w:proofErr w:type="spellStart"/>
      <w:r w:rsidRPr="00876E38">
        <w:rPr>
          <w:i/>
        </w:rPr>
        <w:t>skills</w:t>
      </w:r>
      <w:proofErr w:type="spellEnd"/>
      <w:r w:rsidRPr="00876E38">
        <w:t xml:space="preserve"> influyen de forma significativa en la calidad de la atención sanitaria y en los resultados organizativos. La comunicación efectiva facilita la transmisión precisa de la información entre profesionales, reduce errores y mejora la relación con pacientes y familiares. El trabajo en equipo favorece la coordinación entre diferentes categorías profesionales, optimizando la continuidad asistencial y la toma de decisiones compartida.</w:t>
      </w:r>
    </w:p>
    <w:p w14:paraId="0CCBAC7C" w14:textId="77777777" w:rsidR="00876E38" w:rsidRPr="00876E38" w:rsidRDefault="00876E38" w:rsidP="00876E38">
      <w:pPr>
        <w:jc w:val="both"/>
      </w:pPr>
      <w:r w:rsidRPr="00876E38">
        <w:t xml:space="preserve">La empatía y la inteligencia emocional contribuyen a comprender las necesidades de pacientes, familiares y compañeros, favoreciendo relaciones basadas en el respeto y la confianza. Asimismo, habilidades como la adaptabilidad, la gestión del </w:t>
      </w:r>
      <w:r w:rsidRPr="00876E38">
        <w:lastRenderedPageBreak/>
        <w:t>tiempo y la resolución de conflictos permiten afrontar situaciones de elevada presión asistencial, cambios organizativos y contextos de incertidumbre con mayor eficacia.</w:t>
      </w:r>
    </w:p>
    <w:p w14:paraId="7CA4D108" w14:textId="77777777" w:rsidR="00876E38" w:rsidRPr="00876E38" w:rsidRDefault="00876E38" w:rsidP="00876E38">
      <w:pPr>
        <w:jc w:val="both"/>
      </w:pPr>
      <w:r w:rsidRPr="00876E38">
        <w:t>Los estudios revisados indican que los programas de formación específicos en competencias no técnicas mejoran la satisfacción de los profesionales, fortalecen el liderazgo colaborativo, incrementan el compromiso con la organización y favorecen una cultura de seguridad. Del mismo modo, la integración de estas habilidades en la formación continuada beneficia tanto al personal sanitario como al no sanitario, promoviendo una atención más coordinada, eficiente y centrada en la persona.</w:t>
      </w:r>
    </w:p>
    <w:p w14:paraId="59F424C1" w14:textId="77777777" w:rsidR="00876E38" w:rsidRPr="00876E38" w:rsidRDefault="00876E38" w:rsidP="00876E38">
      <w:pPr>
        <w:jc w:val="both"/>
        <w:rPr>
          <w:b/>
        </w:rPr>
      </w:pPr>
      <w:r w:rsidRPr="00876E38">
        <w:rPr>
          <w:b/>
        </w:rPr>
        <w:t>Conclusiones</w:t>
      </w:r>
    </w:p>
    <w:p w14:paraId="0632DBE7" w14:textId="77777777" w:rsidR="00876E38" w:rsidRPr="00876E38" w:rsidRDefault="00876E38" w:rsidP="00876E38">
      <w:pPr>
        <w:jc w:val="both"/>
      </w:pPr>
      <w:r w:rsidRPr="00876E38">
        <w:t xml:space="preserve">Las </w:t>
      </w:r>
      <w:proofErr w:type="spellStart"/>
      <w:r w:rsidRPr="00876E38">
        <w:rPr>
          <w:i/>
        </w:rPr>
        <w:t>soft</w:t>
      </w:r>
      <w:proofErr w:type="spellEnd"/>
      <w:r w:rsidRPr="00876E38">
        <w:rPr>
          <w:i/>
        </w:rPr>
        <w:t xml:space="preserve"> </w:t>
      </w:r>
      <w:proofErr w:type="spellStart"/>
      <w:r w:rsidRPr="00876E38">
        <w:rPr>
          <w:i/>
        </w:rPr>
        <w:t>skills</w:t>
      </w:r>
      <w:proofErr w:type="spellEnd"/>
      <w:r w:rsidRPr="00876E38">
        <w:t xml:space="preserve"> constituyen un complemento indispensable de las competencias técnicas en los centros sanitarios. Su desarrollo favorece una comunicación más eficaz, mejora el trabajo en equipo, fortalece el liderazgo y contribuye a la prevención de conflictos y errores asistenciales. La formación continuada en competencias transversales debe dirigirse a todo el personal, independientemente de su categoría profesional, con el objetivo de consolidar entornos laborales colaborativos y seguros. La incorporación de estas habilidades en la práctica diaria repercute positivamente en el bienestar de los profesionales, la satisfacción de los pacientes y la calidad de la atención prestada, convirtiéndose en un elemento estratégico para la excelencia de las organizaciones sanitarias.</w:t>
      </w:r>
    </w:p>
    <w:p w14:paraId="682AF3F3" w14:textId="77777777" w:rsidR="00876E38" w:rsidRPr="00876E38" w:rsidRDefault="00876E38" w:rsidP="00876E38">
      <w:pPr>
        <w:jc w:val="both"/>
        <w:rPr>
          <w:b/>
        </w:rPr>
      </w:pPr>
      <w:r w:rsidRPr="00876E38">
        <w:rPr>
          <w:b/>
        </w:rPr>
        <w:t>Bibliografía</w:t>
      </w:r>
    </w:p>
    <w:p w14:paraId="52DD929C" w14:textId="77777777" w:rsidR="00876E38" w:rsidRPr="00876E38" w:rsidRDefault="00876E38" w:rsidP="00876E38">
      <w:pPr>
        <w:numPr>
          <w:ilvl w:val="0"/>
          <w:numId w:val="69"/>
        </w:numPr>
        <w:jc w:val="both"/>
      </w:pPr>
      <w:r w:rsidRPr="00876E38">
        <w:t xml:space="preserve">Organización Mundial de la Salud. </w:t>
      </w:r>
      <w:r w:rsidRPr="00876E38">
        <w:rPr>
          <w:i/>
          <w:lang w:val="en-GB"/>
        </w:rPr>
        <w:t>Global Patient Safety Action Plan 2021–2030</w:t>
      </w:r>
      <w:r w:rsidRPr="00876E38">
        <w:rPr>
          <w:lang w:val="en-GB"/>
        </w:rPr>
        <w:t xml:space="preserve">. </w:t>
      </w:r>
      <w:r w:rsidRPr="00876E38">
        <w:t>Ginebra: OMS; 2021.</w:t>
      </w:r>
    </w:p>
    <w:p w14:paraId="194E42A4" w14:textId="77777777" w:rsidR="00876E38" w:rsidRPr="00876E38" w:rsidRDefault="00876E38" w:rsidP="00876E38">
      <w:pPr>
        <w:numPr>
          <w:ilvl w:val="0"/>
          <w:numId w:val="69"/>
        </w:numPr>
        <w:jc w:val="both"/>
      </w:pPr>
      <w:r w:rsidRPr="00876E38">
        <w:rPr>
          <w:lang w:val="en-GB"/>
        </w:rPr>
        <w:t xml:space="preserve">Institute for Healthcare Improvement. </w:t>
      </w:r>
      <w:r w:rsidRPr="00876E38">
        <w:rPr>
          <w:i/>
          <w:lang w:val="en-GB"/>
        </w:rPr>
        <w:t>Framework for Improving Joy in Work</w:t>
      </w:r>
      <w:r w:rsidRPr="00876E38">
        <w:rPr>
          <w:lang w:val="en-GB"/>
        </w:rPr>
        <w:t xml:space="preserve">. </w:t>
      </w:r>
      <w:r w:rsidRPr="00876E38">
        <w:t>Boston: IHI.</w:t>
      </w:r>
    </w:p>
    <w:p w14:paraId="6A5F4A7E" w14:textId="77777777" w:rsidR="00876E38" w:rsidRPr="00876E38" w:rsidRDefault="00876E38" w:rsidP="00876E38">
      <w:pPr>
        <w:numPr>
          <w:ilvl w:val="0"/>
          <w:numId w:val="69"/>
        </w:numPr>
        <w:jc w:val="both"/>
      </w:pPr>
      <w:r w:rsidRPr="00876E38">
        <w:rPr>
          <w:lang w:val="en-GB"/>
        </w:rPr>
        <w:t xml:space="preserve">Agency for Healthcare Research and Quality. </w:t>
      </w:r>
      <w:proofErr w:type="spellStart"/>
      <w:r w:rsidRPr="00876E38">
        <w:rPr>
          <w:i/>
          <w:lang w:val="en-GB"/>
        </w:rPr>
        <w:t>TeamSTEPPS</w:t>
      </w:r>
      <w:proofErr w:type="spellEnd"/>
      <w:r w:rsidRPr="00876E38">
        <w:rPr>
          <w:i/>
          <w:lang w:val="en-GB"/>
        </w:rPr>
        <w:t>® 3.0: Strategies and Tools to Enhance Performance and Patient Safety</w:t>
      </w:r>
      <w:r w:rsidRPr="00876E38">
        <w:rPr>
          <w:lang w:val="en-GB"/>
        </w:rPr>
        <w:t xml:space="preserve">. </w:t>
      </w:r>
      <w:r w:rsidRPr="00876E38">
        <w:t>Rockville: AHRQ.</w:t>
      </w:r>
    </w:p>
    <w:p w14:paraId="64B9B776" w14:textId="77777777" w:rsidR="00876E38" w:rsidRPr="00876E38" w:rsidRDefault="00876E38" w:rsidP="00876E38">
      <w:pPr>
        <w:numPr>
          <w:ilvl w:val="0"/>
          <w:numId w:val="69"/>
        </w:numPr>
        <w:jc w:val="both"/>
      </w:pPr>
      <w:r w:rsidRPr="00876E38">
        <w:t xml:space="preserve">Rosen MA, </w:t>
      </w:r>
      <w:proofErr w:type="spellStart"/>
      <w:r w:rsidRPr="00876E38">
        <w:t>DiazGranados</w:t>
      </w:r>
      <w:proofErr w:type="spellEnd"/>
      <w:r w:rsidRPr="00876E38">
        <w:t xml:space="preserve"> D, Dietz AS, et al. </w:t>
      </w:r>
      <w:r w:rsidRPr="00876E38">
        <w:rPr>
          <w:lang w:val="en-GB"/>
        </w:rPr>
        <w:t xml:space="preserve">Teamwork in healthcare: key discoveries enabling safer, high-quality care. </w:t>
      </w:r>
      <w:r w:rsidRPr="00876E38">
        <w:rPr>
          <w:i/>
        </w:rPr>
        <w:t xml:space="preserve">Am </w:t>
      </w:r>
      <w:proofErr w:type="spellStart"/>
      <w:r w:rsidRPr="00876E38">
        <w:rPr>
          <w:i/>
        </w:rPr>
        <w:t>Psychol</w:t>
      </w:r>
      <w:proofErr w:type="spellEnd"/>
      <w:r w:rsidRPr="00876E38">
        <w:t>. 2018;73(4):433-450.</w:t>
      </w:r>
    </w:p>
    <w:p w14:paraId="43C01517" w14:textId="77777777" w:rsidR="00876E38" w:rsidRPr="00876E38" w:rsidRDefault="00876E38" w:rsidP="00876E38">
      <w:pPr>
        <w:numPr>
          <w:ilvl w:val="0"/>
          <w:numId w:val="69"/>
        </w:numPr>
        <w:jc w:val="both"/>
      </w:pPr>
      <w:r w:rsidRPr="00876E38">
        <w:t xml:space="preserve">Salas E, Reyes DL, McDaniel SH. </w:t>
      </w:r>
      <w:r w:rsidRPr="00876E38">
        <w:rPr>
          <w:lang w:val="en-GB"/>
        </w:rPr>
        <w:t xml:space="preserve">The science of teamwork: progress, reflections and the road ahead. </w:t>
      </w:r>
      <w:r w:rsidRPr="00876E38">
        <w:rPr>
          <w:i/>
        </w:rPr>
        <w:t xml:space="preserve">Am </w:t>
      </w:r>
      <w:proofErr w:type="spellStart"/>
      <w:r w:rsidRPr="00876E38">
        <w:rPr>
          <w:i/>
        </w:rPr>
        <w:t>Psychol</w:t>
      </w:r>
      <w:proofErr w:type="spellEnd"/>
      <w:r w:rsidRPr="00876E38">
        <w:t>. 2018;73(4):593-600.</w:t>
      </w:r>
    </w:p>
    <w:p w14:paraId="5639200A" w14:textId="77777777" w:rsidR="003962FF" w:rsidRDefault="003962FF" w:rsidP="000E46B3">
      <w:pPr>
        <w:jc w:val="both"/>
        <w:rPr>
          <w:lang w:val="en-GB"/>
        </w:rPr>
      </w:pPr>
    </w:p>
    <w:p w14:paraId="3571B35A" w14:textId="77777777" w:rsidR="00876E38" w:rsidRDefault="00876E38" w:rsidP="000E46B3">
      <w:pPr>
        <w:jc w:val="both"/>
        <w:rPr>
          <w:lang w:val="en-GB"/>
        </w:rPr>
      </w:pPr>
    </w:p>
    <w:p w14:paraId="016F1483" w14:textId="77777777" w:rsidR="00DC5308" w:rsidRPr="00DC5308" w:rsidRDefault="00DC5308" w:rsidP="00DC5308">
      <w:pPr>
        <w:jc w:val="both"/>
      </w:pPr>
      <w:r w:rsidRPr="00DC5308">
        <w:rPr>
          <w:b/>
        </w:rPr>
        <w:lastRenderedPageBreak/>
        <w:t>PROTECCIÓN DE DATOS EN INSTITUCIONES SANITARIAS: BUENAS PRÁCTICAS PARA PERSONAL SANITARIO Y NO SANITARIO</w:t>
      </w:r>
    </w:p>
    <w:p w14:paraId="1D7291A6" w14:textId="77777777" w:rsidR="00DC5308" w:rsidRPr="00DC5308" w:rsidRDefault="00DC5308" w:rsidP="00DC5308">
      <w:pPr>
        <w:jc w:val="both"/>
        <w:rPr>
          <w:b/>
        </w:rPr>
      </w:pPr>
      <w:r w:rsidRPr="00DC5308">
        <w:rPr>
          <w:b/>
        </w:rPr>
        <w:t>Introducción</w:t>
      </w:r>
    </w:p>
    <w:p w14:paraId="4F4A5FA7" w14:textId="77777777" w:rsidR="00DC5308" w:rsidRPr="00DC5308" w:rsidRDefault="00DC5308" w:rsidP="00DC5308">
      <w:pPr>
        <w:jc w:val="both"/>
      </w:pPr>
      <w:r w:rsidRPr="00DC5308">
        <w:t>La protección de los datos personales constituye un elemento esencial para garantizar la confidencialidad, la privacidad y la seguridad de la información en las instituciones sanitarias. La naturaleza especialmente sensible de los datos relativos a la salud exige el cumplimiento de medidas técnicas, organizativas y legales que aseguren su tratamiento adecuado y eviten accesos, pérdidas o divulgaciones no autorizadas. Tanto el personal sanitario como el no sanitario desempeñan un papel fundamental en la protección de esta información, ya que, en el desarrollo de su actividad, pueden acceder a datos identificativos, administrativos o clínicos de pacientes. El cumplimiento de la normativa vigente, junto con la formación continuada y la aplicación de buenas prácticas, contribuye a fortalecer la confianza de los pacientes y a mejorar la calidad y seguridad de la atención sanitaria.</w:t>
      </w:r>
    </w:p>
    <w:p w14:paraId="7344608B" w14:textId="77777777" w:rsidR="00DC5308" w:rsidRPr="00DC5308" w:rsidRDefault="00DC5308" w:rsidP="00DC5308">
      <w:pPr>
        <w:jc w:val="both"/>
        <w:rPr>
          <w:b/>
        </w:rPr>
      </w:pPr>
      <w:r w:rsidRPr="00DC5308">
        <w:rPr>
          <w:b/>
        </w:rPr>
        <w:t>Material y métodos</w:t>
      </w:r>
    </w:p>
    <w:p w14:paraId="2138B8F9" w14:textId="77777777" w:rsidR="00DC5308" w:rsidRPr="00DC5308" w:rsidRDefault="00DC5308" w:rsidP="00DC5308">
      <w:pPr>
        <w:jc w:val="both"/>
      </w:pPr>
      <w:r w:rsidRPr="00DC5308">
        <w:t xml:space="preserve">Se realizó una revisión narrativa de la literatura científica y de la normativa nacional y europea relacionada con la protección de datos personales en el ámbito sanitario. Se consultaron publicaciones indexadas en PubMed, </w:t>
      </w:r>
      <w:proofErr w:type="spellStart"/>
      <w:r w:rsidRPr="00DC5308">
        <w:t>Scopus</w:t>
      </w:r>
      <w:proofErr w:type="spellEnd"/>
      <w:r w:rsidRPr="00DC5308">
        <w:t xml:space="preserve"> y Google Scholar, así como documentos elaborados por la Agencia Española de Protección de Datos, el Ministerio de Sanidad y el Comité Europeo de Protección de Datos. La búsqueda incluyó artículos publicados en español e inglés durante los últimos diez años utilizando los términos "data </w:t>
      </w:r>
      <w:proofErr w:type="spellStart"/>
      <w:r w:rsidRPr="00DC5308">
        <w:t>protection</w:t>
      </w:r>
      <w:proofErr w:type="spellEnd"/>
      <w:r w:rsidRPr="00DC5308">
        <w:t>", "</w:t>
      </w:r>
      <w:proofErr w:type="spellStart"/>
      <w:r w:rsidRPr="00DC5308">
        <w:t>health</w:t>
      </w:r>
      <w:proofErr w:type="spellEnd"/>
      <w:r w:rsidRPr="00DC5308">
        <w:t xml:space="preserve"> data", "</w:t>
      </w:r>
      <w:proofErr w:type="spellStart"/>
      <w:r w:rsidRPr="00DC5308">
        <w:t>privacy</w:t>
      </w:r>
      <w:proofErr w:type="spellEnd"/>
      <w:r w:rsidRPr="00DC5308">
        <w:t>", "</w:t>
      </w:r>
      <w:proofErr w:type="spellStart"/>
      <w:r w:rsidRPr="00DC5308">
        <w:t>healthcare</w:t>
      </w:r>
      <w:proofErr w:type="spellEnd"/>
      <w:r w:rsidRPr="00DC5308">
        <w:t>", "GDPR" y "</w:t>
      </w:r>
      <w:proofErr w:type="spellStart"/>
      <w:r w:rsidRPr="00DC5308">
        <w:t>confidentiality</w:t>
      </w:r>
      <w:proofErr w:type="spellEnd"/>
      <w:r w:rsidRPr="00DC5308">
        <w:t>". Asimismo, se revisaron guías técnicas y protocolos sobre gestión segura de la información sanitaria y confidencialidad en los centros asistenciales.</w:t>
      </w:r>
    </w:p>
    <w:p w14:paraId="181CE155" w14:textId="77777777" w:rsidR="00DC5308" w:rsidRPr="00DC5308" w:rsidRDefault="00DC5308" w:rsidP="00DC5308">
      <w:pPr>
        <w:jc w:val="both"/>
        <w:rPr>
          <w:b/>
        </w:rPr>
      </w:pPr>
      <w:r w:rsidRPr="00DC5308">
        <w:rPr>
          <w:b/>
        </w:rPr>
        <w:t>Resultados</w:t>
      </w:r>
    </w:p>
    <w:p w14:paraId="26FD2830" w14:textId="77777777" w:rsidR="00DC5308" w:rsidRPr="00DC5308" w:rsidRDefault="00DC5308" w:rsidP="00DC5308">
      <w:pPr>
        <w:jc w:val="both"/>
      </w:pPr>
      <w:r w:rsidRPr="00DC5308">
        <w:t>La revisión evidencia que las principales incidencias relacionadas con la protección de datos en el ámbito sanitario derivan de accesos indebidos a historias clínicas, utilización inadecuada de credenciales personales, envío erróneo de documentación, conversaciones sobre pacientes en espacios no autorizados y manejo incorrecto de documentos en soporte físico o electrónico. Estas situaciones pueden comprometer la privacidad de los pacientes, generar consecuencias legales y afectar a la confianza depositada en las instituciones sanitarias.</w:t>
      </w:r>
    </w:p>
    <w:p w14:paraId="58FB76A7" w14:textId="77777777" w:rsidR="00DC5308" w:rsidRPr="00DC5308" w:rsidRDefault="00DC5308" w:rsidP="00DC5308">
      <w:pPr>
        <w:jc w:val="both"/>
      </w:pPr>
      <w:r w:rsidRPr="00DC5308">
        <w:t xml:space="preserve">Las buenas prácticas identificadas incluyen el acceso a la información únicamente cuando resulte necesario para el desempeño profesional, la utilización individual e intransferible de claves de acceso, el bloqueo de equipos informáticos cuando </w:t>
      </w:r>
      <w:r w:rsidRPr="00DC5308">
        <w:lastRenderedPageBreak/>
        <w:t>permanezcan desatendidos, la verificación de la identidad antes de facilitar información, la destrucción segura de documentación confidencial y el cumplimiento de los protocolos establecidos para el tratamiento y almacenamiento de datos personales.</w:t>
      </w:r>
    </w:p>
    <w:p w14:paraId="4203CDDE" w14:textId="77777777" w:rsidR="00DC5308" w:rsidRPr="00DC5308" w:rsidRDefault="00DC5308" w:rsidP="00DC5308">
      <w:pPr>
        <w:jc w:val="both"/>
      </w:pPr>
      <w:r w:rsidRPr="00DC5308">
        <w:t>Los estudios revisados destacan que la formación periódica, la sensibilización de todos los profesionales, las auditorías internas y la implantación de medidas de seguridad técnicas y organizativas favorecen un mayor cumplimiento normativo y reducen el riesgo de incidentes relacionados con la confidencialidad de la información. La implicación de todo el personal, independientemente de su categoría profesional, resulta imprescindible para garantizar una adecuada protección de los datos de salud.</w:t>
      </w:r>
    </w:p>
    <w:p w14:paraId="26FD9863" w14:textId="77777777" w:rsidR="00DC5308" w:rsidRPr="00DC5308" w:rsidRDefault="00DC5308" w:rsidP="00DC5308">
      <w:pPr>
        <w:jc w:val="both"/>
        <w:rPr>
          <w:b/>
        </w:rPr>
      </w:pPr>
      <w:r w:rsidRPr="00DC5308">
        <w:rPr>
          <w:b/>
        </w:rPr>
        <w:t>Conclusiones</w:t>
      </w:r>
    </w:p>
    <w:p w14:paraId="69CBE687" w14:textId="77777777" w:rsidR="00DC5308" w:rsidRPr="00DC5308" w:rsidRDefault="00DC5308" w:rsidP="00DC5308">
      <w:pPr>
        <w:jc w:val="both"/>
      </w:pPr>
      <w:r w:rsidRPr="00DC5308">
        <w:t>La protección de datos constituye una responsabilidad compartida por todo el personal que desarrolla su actividad en instituciones sanitarias. La aplicación de buenas prácticas, el conocimiento de la normativa vigente y la formación continuada permiten minimizar los riesgos asociados al tratamiento de información sensible y reforzar la seguridad de los sistemas sanitarios. La promoción de una cultura organizativa basada en la confidencialidad, la responsabilidad y el respeto a la privacidad contribuye a mejorar la calidad asistencial, proteger los derechos de los pacientes y fortalecer la confianza en los servicios de salud.</w:t>
      </w:r>
    </w:p>
    <w:p w14:paraId="4E57BDB5" w14:textId="77777777" w:rsidR="00DC5308" w:rsidRPr="00DC5308" w:rsidRDefault="00DC5308" w:rsidP="00DC5308">
      <w:pPr>
        <w:jc w:val="both"/>
        <w:rPr>
          <w:b/>
        </w:rPr>
      </w:pPr>
      <w:r w:rsidRPr="00DC5308">
        <w:rPr>
          <w:b/>
        </w:rPr>
        <w:t>Bibliografía</w:t>
      </w:r>
    </w:p>
    <w:p w14:paraId="17159B7A" w14:textId="77777777" w:rsidR="00DC5308" w:rsidRPr="00DC5308" w:rsidRDefault="00DC5308" w:rsidP="00DC5308">
      <w:pPr>
        <w:numPr>
          <w:ilvl w:val="0"/>
          <w:numId w:val="70"/>
        </w:numPr>
        <w:jc w:val="both"/>
      </w:pPr>
      <w:r w:rsidRPr="00DC5308">
        <w:t>Reglamento (UE) 2016/679 del Parlamento Europeo y del Consejo, de 27 de abril de 2016 (Reglamento General de Protección de Datos).</w:t>
      </w:r>
    </w:p>
    <w:p w14:paraId="32FA5F2D" w14:textId="77777777" w:rsidR="00DC5308" w:rsidRPr="00DC5308" w:rsidRDefault="00DC5308" w:rsidP="00DC5308">
      <w:pPr>
        <w:numPr>
          <w:ilvl w:val="0"/>
          <w:numId w:val="70"/>
        </w:numPr>
        <w:jc w:val="both"/>
      </w:pPr>
      <w:r w:rsidRPr="00DC5308">
        <w:t>Ley Orgánica 3/2018, de 5 de diciembre, de Protección de Datos Personales y garantía de los derechos digitales.</w:t>
      </w:r>
    </w:p>
    <w:p w14:paraId="4A22229B" w14:textId="77777777" w:rsidR="00DC5308" w:rsidRPr="00DC5308" w:rsidRDefault="00DC5308" w:rsidP="00DC5308">
      <w:pPr>
        <w:numPr>
          <w:ilvl w:val="0"/>
          <w:numId w:val="70"/>
        </w:numPr>
        <w:jc w:val="both"/>
      </w:pPr>
      <w:r w:rsidRPr="00DC5308">
        <w:t xml:space="preserve">Agencia Española de Protección de Datos. </w:t>
      </w:r>
      <w:r w:rsidRPr="00DC5308">
        <w:rPr>
          <w:i/>
        </w:rPr>
        <w:t>Guía para pacientes y usuarios de la sanidad sobre protección de datos personales</w:t>
      </w:r>
      <w:r w:rsidRPr="00DC5308">
        <w:t>. Madrid: AEPD.</w:t>
      </w:r>
    </w:p>
    <w:p w14:paraId="1A96654F" w14:textId="77777777" w:rsidR="00DC5308" w:rsidRPr="00DC5308" w:rsidRDefault="00DC5308" w:rsidP="00DC5308">
      <w:pPr>
        <w:numPr>
          <w:ilvl w:val="0"/>
          <w:numId w:val="70"/>
        </w:numPr>
        <w:jc w:val="both"/>
      </w:pPr>
      <w:r w:rsidRPr="00DC5308">
        <w:t>Comité Europeo de Protección de Datos. Directrices sobre el tratamiento de datos personales relativos a la salud en el contexto sanitario.</w:t>
      </w:r>
    </w:p>
    <w:p w14:paraId="16B948BD" w14:textId="77777777" w:rsidR="00DC5308" w:rsidRPr="00DC5308" w:rsidRDefault="00DC5308" w:rsidP="00DC5308">
      <w:pPr>
        <w:numPr>
          <w:ilvl w:val="0"/>
          <w:numId w:val="70"/>
        </w:numPr>
        <w:jc w:val="both"/>
      </w:pPr>
      <w:r w:rsidRPr="00DC5308">
        <w:t>Ministerio de Sanidad. Estrategias de transformación digital y seguridad de la información en el Sistema Nacional de Salud.</w:t>
      </w:r>
    </w:p>
    <w:p w14:paraId="502861DA" w14:textId="77777777" w:rsidR="00876E38" w:rsidRDefault="00876E38" w:rsidP="000E46B3">
      <w:pPr>
        <w:jc w:val="both"/>
      </w:pPr>
    </w:p>
    <w:p w14:paraId="348A7EC5" w14:textId="77777777" w:rsidR="00DC5308" w:rsidRDefault="00DC5308" w:rsidP="000E46B3">
      <w:pPr>
        <w:jc w:val="both"/>
      </w:pPr>
    </w:p>
    <w:p w14:paraId="45A2D559" w14:textId="77777777" w:rsidR="00DC5308" w:rsidRDefault="00DC5308" w:rsidP="000E46B3">
      <w:pPr>
        <w:jc w:val="both"/>
      </w:pPr>
    </w:p>
    <w:p w14:paraId="282CBB80" w14:textId="77777777" w:rsidR="00DC5308" w:rsidRDefault="00DC5308" w:rsidP="000E46B3">
      <w:pPr>
        <w:jc w:val="both"/>
      </w:pPr>
    </w:p>
    <w:p w14:paraId="17FF4DCE" w14:textId="77777777" w:rsidR="00410026" w:rsidRPr="00410026" w:rsidRDefault="00410026" w:rsidP="00410026">
      <w:pPr>
        <w:jc w:val="both"/>
      </w:pPr>
      <w:r w:rsidRPr="00410026">
        <w:rPr>
          <w:b/>
        </w:rPr>
        <w:lastRenderedPageBreak/>
        <w:t xml:space="preserve">ACOSO SEXUAL Y POR RAZÓN DE SEXO EN EL ÁMBITO SANITARIO: GUÍA PARA PROFESIONALES </w:t>
      </w:r>
      <w:proofErr w:type="gramStart"/>
      <w:r w:rsidRPr="00410026">
        <w:rPr>
          <w:b/>
        </w:rPr>
        <w:t>SANITARIOS  Y</w:t>
      </w:r>
      <w:proofErr w:type="gramEnd"/>
      <w:r w:rsidRPr="00410026">
        <w:rPr>
          <w:b/>
        </w:rPr>
        <w:t xml:space="preserve"> NO SANITARIOS</w:t>
      </w:r>
    </w:p>
    <w:p w14:paraId="38588791" w14:textId="77777777" w:rsidR="00410026" w:rsidRPr="00410026" w:rsidRDefault="00410026" w:rsidP="00410026">
      <w:pPr>
        <w:jc w:val="both"/>
        <w:rPr>
          <w:b/>
        </w:rPr>
      </w:pPr>
      <w:r w:rsidRPr="00410026">
        <w:rPr>
          <w:b/>
        </w:rPr>
        <w:t>Introducción</w:t>
      </w:r>
    </w:p>
    <w:p w14:paraId="37559434" w14:textId="77777777" w:rsidR="00410026" w:rsidRPr="00410026" w:rsidRDefault="00410026" w:rsidP="00410026">
      <w:pPr>
        <w:jc w:val="both"/>
      </w:pPr>
      <w:r w:rsidRPr="00410026">
        <w:t>El acoso sexual y el acoso por razón de sexo constituyen formas de violencia y discriminación que vulneran la dignidad de las personas y comprometen el derecho a desarrollar la actividad profesional en un entorno seguro, respetuoso e igualitario. En el ámbito sanitario, donde conviven profesionales de distintas categorías y niveles jerárquicos, estas conductas pueden afectar tanto al personal sanitario como al no sanitario, repercutiendo negativamente en la salud física y psicológica de las personas trabajadoras, en el clima organizacional y en la calidad de la atención prestada. La legislación española reconoce la obligación de las organizaciones de prevenir estas situaciones mediante la implantación de medidas específicas, protocolos de actuación y acciones formativas dirigidas a toda la plantilla. La sensibilización y el conocimiento de los mecanismos de prevención y actuación son elementos esenciales para promover una cultura de tolerancia cero frente a cualquier manifestación de acoso.</w:t>
      </w:r>
    </w:p>
    <w:p w14:paraId="69235027" w14:textId="77777777" w:rsidR="00410026" w:rsidRPr="00410026" w:rsidRDefault="00410026" w:rsidP="00410026">
      <w:pPr>
        <w:jc w:val="both"/>
        <w:rPr>
          <w:b/>
        </w:rPr>
      </w:pPr>
      <w:r w:rsidRPr="00410026">
        <w:rPr>
          <w:b/>
        </w:rPr>
        <w:t>Material y métodos</w:t>
      </w:r>
    </w:p>
    <w:p w14:paraId="0AC6CA07" w14:textId="77777777" w:rsidR="00410026" w:rsidRPr="00410026" w:rsidRDefault="00410026" w:rsidP="00410026">
      <w:pPr>
        <w:jc w:val="both"/>
      </w:pPr>
      <w:r w:rsidRPr="00410026">
        <w:t xml:space="preserve">Se realizó una revisión narrativa de la literatura científica y de la normativa vigente sobre acoso sexual y acoso por razón de sexo en el ámbito laboral, con especial atención al sector sanitario. Se consultaron publicaciones indexadas en PubMed, </w:t>
      </w:r>
      <w:proofErr w:type="spellStart"/>
      <w:r w:rsidRPr="00410026">
        <w:t>Scopus</w:t>
      </w:r>
      <w:proofErr w:type="spellEnd"/>
      <w:r w:rsidRPr="00410026">
        <w:t xml:space="preserve"> y Google Scholar, así como documentos elaborados por organismos nacionales e internacionales relacionados con la igualdad, la salud laboral y la prevención de riesgos psicosociales. La búsqueda incluyó artículos publicados en español e inglés durante los últimos diez años utilizando los términos "sexual </w:t>
      </w:r>
      <w:proofErr w:type="spellStart"/>
      <w:r w:rsidRPr="00410026">
        <w:t>harassment</w:t>
      </w:r>
      <w:proofErr w:type="spellEnd"/>
      <w:r w:rsidRPr="00410026">
        <w:t>", "</w:t>
      </w:r>
      <w:proofErr w:type="spellStart"/>
      <w:r w:rsidRPr="00410026">
        <w:t>gender-based</w:t>
      </w:r>
      <w:proofErr w:type="spellEnd"/>
      <w:r w:rsidRPr="00410026">
        <w:t xml:space="preserve"> </w:t>
      </w:r>
      <w:proofErr w:type="spellStart"/>
      <w:r w:rsidRPr="00410026">
        <w:t>harassment</w:t>
      </w:r>
      <w:proofErr w:type="spellEnd"/>
      <w:r w:rsidRPr="00410026">
        <w:t>", "</w:t>
      </w:r>
      <w:proofErr w:type="spellStart"/>
      <w:r w:rsidRPr="00410026">
        <w:t>healthcare</w:t>
      </w:r>
      <w:proofErr w:type="spellEnd"/>
      <w:r w:rsidRPr="00410026">
        <w:t xml:space="preserve"> </w:t>
      </w:r>
      <w:proofErr w:type="spellStart"/>
      <w:r w:rsidRPr="00410026">
        <w:t>workers</w:t>
      </w:r>
      <w:proofErr w:type="spellEnd"/>
      <w:r w:rsidRPr="00410026">
        <w:t>", "hospital", "</w:t>
      </w:r>
      <w:proofErr w:type="spellStart"/>
      <w:r w:rsidRPr="00410026">
        <w:t>workplace</w:t>
      </w:r>
      <w:proofErr w:type="spellEnd"/>
      <w:r w:rsidRPr="00410026">
        <w:t xml:space="preserve"> </w:t>
      </w:r>
      <w:proofErr w:type="spellStart"/>
      <w:r w:rsidRPr="00410026">
        <w:t>harassment</w:t>
      </w:r>
      <w:proofErr w:type="spellEnd"/>
      <w:r w:rsidRPr="00410026">
        <w:t>" e "igualdad". Asimismo, se revisaron protocolos institucionales y guías técnicas sobre prevención, detección e intervención frente a estas conductas en organizaciones sanitarias.</w:t>
      </w:r>
    </w:p>
    <w:p w14:paraId="07412A90" w14:textId="77777777" w:rsidR="00410026" w:rsidRPr="00410026" w:rsidRDefault="00410026" w:rsidP="00410026">
      <w:pPr>
        <w:jc w:val="both"/>
        <w:rPr>
          <w:b/>
        </w:rPr>
      </w:pPr>
      <w:r w:rsidRPr="00410026">
        <w:rPr>
          <w:b/>
        </w:rPr>
        <w:t>Resultados</w:t>
      </w:r>
    </w:p>
    <w:p w14:paraId="6A0A9CBE" w14:textId="77777777" w:rsidR="00410026" w:rsidRPr="00410026" w:rsidRDefault="00410026" w:rsidP="00410026">
      <w:pPr>
        <w:jc w:val="both"/>
      </w:pPr>
      <w:r w:rsidRPr="00410026">
        <w:t xml:space="preserve">La evidencia disponible indica que el acoso sexual y el acoso por razón de sexo continúan presentes en los entornos sanitarios, aunque frecuentemente permanecen </w:t>
      </w:r>
      <w:proofErr w:type="spellStart"/>
      <w:r w:rsidRPr="00410026">
        <w:t>infradeclarados</w:t>
      </w:r>
      <w:proofErr w:type="spellEnd"/>
      <w:r w:rsidRPr="00410026">
        <w:t xml:space="preserve"> por miedo a represalias, sentimiento de vulnerabilidad o falta de confianza en los procedimientos de denuncia. Estas conductas pueden manifestarse mediante comentarios o insinuaciones de contenido sexual, contacto físico no consentido, propuestas inapropiadas, difusión de mensajes ofensivos, comportamientos intimidatorios o trato desfavorable basado en el sexo, el embarazo, la maternidad, la paternidad o los estereotipos de género.</w:t>
      </w:r>
    </w:p>
    <w:p w14:paraId="342C1B56" w14:textId="77777777" w:rsidR="00410026" w:rsidRPr="00410026" w:rsidRDefault="00410026" w:rsidP="00410026">
      <w:pPr>
        <w:jc w:val="both"/>
      </w:pPr>
      <w:r w:rsidRPr="00410026">
        <w:lastRenderedPageBreak/>
        <w:t>Las consecuencias para las personas afectadas incluyen ansiedad, estrés, depresión, disminución de la autoestima, trastornos del sueño, reducción del rendimiento laboral y mayor riesgo de absentismo o abandono del puesto de trabajo. A nivel organizativo, estas situaciones deterioran el clima laboral, incrementan los conflictos internos, favorecen la pérdida de talento y pueden comprometer la calidad y seguridad de la atención sanitaria.</w:t>
      </w:r>
    </w:p>
    <w:p w14:paraId="1B2184D1" w14:textId="77777777" w:rsidR="00410026" w:rsidRPr="00410026" w:rsidRDefault="00410026" w:rsidP="00410026">
      <w:pPr>
        <w:jc w:val="both"/>
      </w:pPr>
      <w:r w:rsidRPr="00410026">
        <w:t>Los estudios revisados coinciden en señalar que las intervenciones más eficaces incluyen la implantación de protocolos específicos de prevención y actuación, la formación periódica de todo el personal, la promoción de una cultura organizacional basada en la igualdad y el respeto, la existencia de canales confidenciales de comunicación y la investigación rápida, objetiva e imparcial de cualquier denuncia o indicio de acoso.</w:t>
      </w:r>
    </w:p>
    <w:p w14:paraId="6FF0FFD8" w14:textId="77777777" w:rsidR="00410026" w:rsidRPr="00410026" w:rsidRDefault="00410026" w:rsidP="00410026">
      <w:pPr>
        <w:jc w:val="both"/>
        <w:rPr>
          <w:b/>
        </w:rPr>
      </w:pPr>
      <w:r w:rsidRPr="00410026">
        <w:rPr>
          <w:b/>
        </w:rPr>
        <w:t>Conclusiones</w:t>
      </w:r>
    </w:p>
    <w:p w14:paraId="0B93EAF9" w14:textId="77777777" w:rsidR="00410026" w:rsidRPr="00410026" w:rsidRDefault="00410026" w:rsidP="00410026">
      <w:pPr>
        <w:jc w:val="both"/>
      </w:pPr>
      <w:r w:rsidRPr="00410026">
        <w:t>El acoso sexual y el acoso por razón de sexo representan riesgos psicosociales que afectan tanto al personal sanitario como al no sanitario y requieren una respuesta institucional firme y coordinada. La implantación de políticas de tolerancia cero, junto con programas de formación, sensibilización y evaluación continua de los riesgos, favorece la prevención de estas conductas y fortalece la cultura de respeto e igualdad dentro de las organizaciones sanitarias. Garantizar entornos laborales libres de acoso no solo protege los derechos y el bienestar de las personas trabajadoras, sino que también contribuye a mejorar la calidad asistencial, la seguridad del paciente y el funcionamiento de los equipos multidisciplinares.</w:t>
      </w:r>
    </w:p>
    <w:p w14:paraId="44A9FC58" w14:textId="77777777" w:rsidR="00410026" w:rsidRPr="00410026" w:rsidRDefault="00410026" w:rsidP="00410026">
      <w:pPr>
        <w:jc w:val="both"/>
        <w:rPr>
          <w:b/>
        </w:rPr>
      </w:pPr>
      <w:r w:rsidRPr="00410026">
        <w:rPr>
          <w:b/>
        </w:rPr>
        <w:t>Bibliografía</w:t>
      </w:r>
    </w:p>
    <w:p w14:paraId="4842840D" w14:textId="77777777" w:rsidR="00410026" w:rsidRPr="00410026" w:rsidRDefault="00410026" w:rsidP="00410026">
      <w:pPr>
        <w:numPr>
          <w:ilvl w:val="0"/>
          <w:numId w:val="71"/>
        </w:numPr>
        <w:jc w:val="both"/>
      </w:pPr>
      <w:r w:rsidRPr="00410026">
        <w:t>Ley Orgánica 3/2007, de 22 de marzo, para la igualdad efectiva de mujeres y hombres.</w:t>
      </w:r>
    </w:p>
    <w:p w14:paraId="3AD0B686" w14:textId="77777777" w:rsidR="00410026" w:rsidRPr="00410026" w:rsidRDefault="00410026" w:rsidP="00410026">
      <w:pPr>
        <w:numPr>
          <w:ilvl w:val="0"/>
          <w:numId w:val="71"/>
        </w:numPr>
        <w:jc w:val="both"/>
      </w:pPr>
      <w:r w:rsidRPr="00410026">
        <w:t>Ley 31/1995, de 8 de noviembre, de Prevención de Riesgos Laborales.</w:t>
      </w:r>
    </w:p>
    <w:p w14:paraId="73F6F750" w14:textId="77777777" w:rsidR="00410026" w:rsidRPr="00410026" w:rsidRDefault="00410026" w:rsidP="00410026">
      <w:pPr>
        <w:numPr>
          <w:ilvl w:val="0"/>
          <w:numId w:val="71"/>
        </w:numPr>
        <w:jc w:val="both"/>
      </w:pPr>
      <w:r w:rsidRPr="00410026">
        <w:t xml:space="preserve">Instituto Nacional de Seguridad y Salud en el Trabajo (INSST). </w:t>
      </w:r>
      <w:r w:rsidRPr="00410026">
        <w:rPr>
          <w:i/>
        </w:rPr>
        <w:t>Acoso sexual y acoso por razón de sexo en el trabajo: criterios preventivos</w:t>
      </w:r>
      <w:r w:rsidRPr="00410026">
        <w:t>. Madrid: INSST.</w:t>
      </w:r>
    </w:p>
    <w:p w14:paraId="647AA096" w14:textId="77777777" w:rsidR="00410026" w:rsidRPr="00410026" w:rsidRDefault="00410026" w:rsidP="00410026">
      <w:pPr>
        <w:numPr>
          <w:ilvl w:val="0"/>
          <w:numId w:val="71"/>
        </w:numPr>
        <w:jc w:val="both"/>
      </w:pPr>
      <w:r w:rsidRPr="00410026">
        <w:t xml:space="preserve">Organización Internacional del Trabajo. </w:t>
      </w:r>
      <w:proofErr w:type="spellStart"/>
      <w:r w:rsidRPr="00410026">
        <w:rPr>
          <w:i/>
        </w:rPr>
        <w:t>Violence</w:t>
      </w:r>
      <w:proofErr w:type="spellEnd"/>
      <w:r w:rsidRPr="00410026">
        <w:rPr>
          <w:i/>
        </w:rPr>
        <w:t xml:space="preserve"> and </w:t>
      </w:r>
      <w:proofErr w:type="spellStart"/>
      <w:r w:rsidRPr="00410026">
        <w:rPr>
          <w:i/>
        </w:rPr>
        <w:t>Harassment</w:t>
      </w:r>
      <w:proofErr w:type="spellEnd"/>
      <w:r w:rsidRPr="00410026">
        <w:rPr>
          <w:i/>
        </w:rPr>
        <w:t xml:space="preserve"> </w:t>
      </w:r>
      <w:proofErr w:type="spellStart"/>
      <w:r w:rsidRPr="00410026">
        <w:rPr>
          <w:i/>
        </w:rPr>
        <w:t>Convention</w:t>
      </w:r>
      <w:proofErr w:type="spellEnd"/>
      <w:r w:rsidRPr="00410026">
        <w:rPr>
          <w:i/>
        </w:rPr>
        <w:t>, 2019 (No. 190)</w:t>
      </w:r>
      <w:r w:rsidRPr="00410026">
        <w:t>. Ginebra: OIT; 2019.</w:t>
      </w:r>
    </w:p>
    <w:p w14:paraId="4F6F8351" w14:textId="77777777" w:rsidR="00410026" w:rsidRDefault="00410026" w:rsidP="00410026">
      <w:pPr>
        <w:numPr>
          <w:ilvl w:val="0"/>
          <w:numId w:val="71"/>
        </w:numPr>
        <w:jc w:val="both"/>
        <w:rPr>
          <w:lang w:val="en-GB"/>
        </w:rPr>
      </w:pPr>
      <w:r w:rsidRPr="00410026">
        <w:t xml:space="preserve">Organización Mundial de la Salud. </w:t>
      </w:r>
      <w:r w:rsidRPr="00410026">
        <w:rPr>
          <w:i/>
          <w:lang w:val="en-GB"/>
        </w:rPr>
        <w:t>Mental Health at Work</w:t>
      </w:r>
      <w:r w:rsidRPr="00410026">
        <w:rPr>
          <w:lang w:val="en-GB"/>
        </w:rPr>
        <w:t>. Ginebra: OMS; 2022.</w:t>
      </w:r>
    </w:p>
    <w:p w14:paraId="1C020485" w14:textId="77777777" w:rsidR="00410026" w:rsidRDefault="00410026" w:rsidP="00410026">
      <w:pPr>
        <w:jc w:val="both"/>
        <w:rPr>
          <w:lang w:val="en-GB"/>
        </w:rPr>
      </w:pPr>
    </w:p>
    <w:p w14:paraId="44695EEF" w14:textId="77777777" w:rsidR="00410026" w:rsidRDefault="00410026" w:rsidP="00410026">
      <w:pPr>
        <w:jc w:val="both"/>
        <w:rPr>
          <w:lang w:val="en-GB"/>
        </w:rPr>
      </w:pPr>
    </w:p>
    <w:p w14:paraId="6FE1F176" w14:textId="77777777" w:rsidR="0077055C" w:rsidRPr="0077055C" w:rsidRDefault="0077055C" w:rsidP="0077055C">
      <w:pPr>
        <w:jc w:val="both"/>
      </w:pPr>
      <w:r w:rsidRPr="0077055C">
        <w:rPr>
          <w:b/>
        </w:rPr>
        <w:lastRenderedPageBreak/>
        <w:t>HIGIENE DE MANOS EN CENTROS SANITARIOS: GUÍA PARA PERSONAL SANITARIO Y NO SANITARIO</w:t>
      </w:r>
    </w:p>
    <w:p w14:paraId="49F92D3C" w14:textId="77777777" w:rsidR="0077055C" w:rsidRPr="0077055C" w:rsidRDefault="0077055C" w:rsidP="0077055C">
      <w:pPr>
        <w:jc w:val="both"/>
        <w:rPr>
          <w:b/>
        </w:rPr>
      </w:pPr>
      <w:r w:rsidRPr="0077055C">
        <w:rPr>
          <w:b/>
        </w:rPr>
        <w:t>Introducción</w:t>
      </w:r>
    </w:p>
    <w:p w14:paraId="774929E4" w14:textId="77777777" w:rsidR="0077055C" w:rsidRPr="0077055C" w:rsidRDefault="0077055C" w:rsidP="0077055C">
      <w:pPr>
        <w:jc w:val="both"/>
      </w:pPr>
      <w:r w:rsidRPr="0077055C">
        <w:t>La higiene de manos constituye la medida más sencilla, eficaz y coste-efectiva para prevenir la transmisión de microorganismos y reducir las infecciones relacionadas con la asistencia sanitaria (IRAS). Su correcta aplicación protege tanto a los pacientes como a los profesionales y visitantes, disminuyendo la propagación de bacterias, virus y otros agentes patógenos. Aunque tradicionalmente se ha asociado al personal sanitario, la higiene de manos también resulta esencial para el personal no sanitario, incluyendo profesionales de limpieza, mantenimiento, administración, celadores, personal de cocina y otros trabajadores que participan de forma directa o indirecta en la actividad asistencial. La promoción de una adecuada cultura de higiene constituye un pilar fundamental de los programas de seguridad del paciente y de prevención y control de infecciones en los centros sanitarios.</w:t>
      </w:r>
    </w:p>
    <w:p w14:paraId="4CD8FA87" w14:textId="77777777" w:rsidR="0077055C" w:rsidRPr="0077055C" w:rsidRDefault="0077055C" w:rsidP="0077055C">
      <w:pPr>
        <w:jc w:val="both"/>
        <w:rPr>
          <w:b/>
        </w:rPr>
      </w:pPr>
      <w:r w:rsidRPr="0077055C">
        <w:rPr>
          <w:b/>
        </w:rPr>
        <w:t>Material y métodos</w:t>
      </w:r>
    </w:p>
    <w:p w14:paraId="3B0FD9B2" w14:textId="77777777" w:rsidR="0077055C" w:rsidRPr="0077055C" w:rsidRDefault="0077055C" w:rsidP="0077055C">
      <w:pPr>
        <w:jc w:val="both"/>
      </w:pPr>
      <w:r w:rsidRPr="0077055C">
        <w:t xml:space="preserve">Se realizó una revisión narrativa de la literatura científica y de las principales recomendaciones nacionales e internacionales sobre higiene de manos en el ámbito sanitario. Se consultaron artículos publicados en PubMed, </w:t>
      </w:r>
      <w:proofErr w:type="spellStart"/>
      <w:r w:rsidRPr="0077055C">
        <w:t>Scopus</w:t>
      </w:r>
      <w:proofErr w:type="spellEnd"/>
      <w:r w:rsidRPr="0077055C">
        <w:t xml:space="preserve"> y Google Scholar, así como documentos elaborados por la Organización Mundial de la Salud (OMS), el Centro Europeo para la Prevención y el Control de las Enfermedades (ECDC), el Ministerio de Sanidad y el Instituto Nacional de Seguridad y Salud en el Trabajo. La búsqueda incluyó publicaciones en español e inglés de los últimos diez años utilizando los términos "</w:t>
      </w:r>
      <w:proofErr w:type="spellStart"/>
      <w:r w:rsidRPr="0077055C">
        <w:t>hand</w:t>
      </w:r>
      <w:proofErr w:type="spellEnd"/>
      <w:r w:rsidRPr="0077055C">
        <w:t xml:space="preserve"> </w:t>
      </w:r>
      <w:proofErr w:type="spellStart"/>
      <w:r w:rsidRPr="0077055C">
        <w:t>hygiene</w:t>
      </w:r>
      <w:proofErr w:type="spellEnd"/>
      <w:r w:rsidRPr="0077055C">
        <w:t>", "</w:t>
      </w:r>
      <w:proofErr w:type="spellStart"/>
      <w:r w:rsidRPr="0077055C">
        <w:t>healthcare-associated</w:t>
      </w:r>
      <w:proofErr w:type="spellEnd"/>
      <w:r w:rsidRPr="0077055C">
        <w:t xml:space="preserve"> </w:t>
      </w:r>
      <w:proofErr w:type="spellStart"/>
      <w:r w:rsidRPr="0077055C">
        <w:t>infections</w:t>
      </w:r>
      <w:proofErr w:type="spellEnd"/>
      <w:r w:rsidRPr="0077055C">
        <w:t>", "</w:t>
      </w:r>
      <w:proofErr w:type="spellStart"/>
      <w:r w:rsidRPr="0077055C">
        <w:t>infection</w:t>
      </w:r>
      <w:proofErr w:type="spellEnd"/>
      <w:r w:rsidRPr="0077055C">
        <w:t xml:space="preserve"> </w:t>
      </w:r>
      <w:proofErr w:type="spellStart"/>
      <w:r w:rsidRPr="0077055C">
        <w:t>prevention</w:t>
      </w:r>
      <w:proofErr w:type="spellEnd"/>
      <w:r w:rsidRPr="0077055C">
        <w:t>", "hospital" y "</w:t>
      </w:r>
      <w:proofErr w:type="spellStart"/>
      <w:r w:rsidRPr="0077055C">
        <w:t>patient</w:t>
      </w:r>
      <w:proofErr w:type="spellEnd"/>
      <w:r w:rsidRPr="0077055C">
        <w:t xml:space="preserve"> safety". Asimismo, se revisaron guías clínicas y protocolos dirigidos a la implantación de programas de higiene de manos en instituciones sanitarias.</w:t>
      </w:r>
    </w:p>
    <w:p w14:paraId="6A1F5488" w14:textId="77777777" w:rsidR="0077055C" w:rsidRPr="0077055C" w:rsidRDefault="0077055C" w:rsidP="0077055C">
      <w:pPr>
        <w:jc w:val="both"/>
        <w:rPr>
          <w:b/>
        </w:rPr>
      </w:pPr>
      <w:r w:rsidRPr="0077055C">
        <w:rPr>
          <w:b/>
        </w:rPr>
        <w:t>Resultados</w:t>
      </w:r>
    </w:p>
    <w:p w14:paraId="4EFAE190" w14:textId="77777777" w:rsidR="0077055C" w:rsidRPr="0077055C" w:rsidRDefault="0077055C" w:rsidP="0077055C">
      <w:pPr>
        <w:jc w:val="both"/>
      </w:pPr>
      <w:r w:rsidRPr="0077055C">
        <w:t>La evidencia científica confirma que una correcta higiene de manos reduce significativamente la transmisión cruzada de microorganismos y la incidencia de infecciones relacionadas con la asistencia sanitaria. La estrategia multimodal promovida por la Organización Mundial de la Salud combina formación continuada, disponibilidad de soluciones hidroalcohólicas, evaluación del cumplimiento, retroalimentación de resultados y promoción de una cultura institucional de seguridad.</w:t>
      </w:r>
    </w:p>
    <w:p w14:paraId="09AC2A55" w14:textId="77777777" w:rsidR="0077055C" w:rsidRPr="0077055C" w:rsidRDefault="0077055C" w:rsidP="0077055C">
      <w:pPr>
        <w:jc w:val="both"/>
      </w:pPr>
      <w:r w:rsidRPr="0077055C">
        <w:t xml:space="preserve">Los denominados "Cinco Momentos para la Higiene de las Manos" —antes del contacto con el paciente, antes de realizar una tarea limpia o aséptica, después del riesgo de exposición a fluidos corporales, después del contacto con el paciente y </w:t>
      </w:r>
      <w:r w:rsidRPr="0077055C">
        <w:lastRenderedPageBreak/>
        <w:t>después del contacto con su entorno— constituyen la referencia internacional para el personal asistencial. Paralelamente, el personal no sanitario debe realizar una adecuada higiene de manos antes y después de actividades que impliquen contacto con superficies, materiales, equipos o áreas potencialmente contaminadas.</w:t>
      </w:r>
    </w:p>
    <w:p w14:paraId="2CE0AA44" w14:textId="77777777" w:rsidR="0077055C" w:rsidRPr="0077055C" w:rsidRDefault="0077055C" w:rsidP="0077055C">
      <w:pPr>
        <w:jc w:val="both"/>
      </w:pPr>
      <w:r w:rsidRPr="0077055C">
        <w:t>Los estudios revisados indican que la adherencia a las recomendaciones continúa siendo variable entre categorías profesionales y servicios asistenciales. Entre las principales barreras destacan la elevada carga de trabajo, la falta de formación periódica, la percepción insuficiente del riesgo y la escasa disponibilidad de recursos en algunos entornos. En cambio, las campañas educativas, la observación directa, la retroalimentación de resultados y el liderazgo de los equipos favorecen un incremento significativo del cumplimiento y una reducción de las infecciones asociadas a la asistencia sanitaria.</w:t>
      </w:r>
    </w:p>
    <w:p w14:paraId="41F0ACB3" w14:textId="77777777" w:rsidR="0077055C" w:rsidRPr="0077055C" w:rsidRDefault="0077055C" w:rsidP="0077055C">
      <w:pPr>
        <w:jc w:val="both"/>
        <w:rPr>
          <w:b/>
        </w:rPr>
      </w:pPr>
      <w:r w:rsidRPr="0077055C">
        <w:rPr>
          <w:b/>
        </w:rPr>
        <w:t>Conclusiones</w:t>
      </w:r>
    </w:p>
    <w:p w14:paraId="491E1922" w14:textId="77777777" w:rsidR="0077055C" w:rsidRPr="0077055C" w:rsidRDefault="0077055C" w:rsidP="0077055C">
      <w:pPr>
        <w:jc w:val="both"/>
      </w:pPr>
      <w:r w:rsidRPr="0077055C">
        <w:t>La higiene de manos representa la intervención preventiva de mayor impacto para reducir la transmisión de microorganismos en los centros sanitarios. Su cumplimiento debe implicar tanto al personal sanitario como al no sanitario, independientemente de su categoría profesional. La formación continuada, la accesibilidad a los productos para la higiene de manos, la evaluación periódica de la adherencia y el compromiso institucional son elementos esenciales para consolidar una cultura de seguridad. El fortalecimiento de estas estrategias contribuye a disminuir las infecciones relacionadas con la asistencia sanitaria, mejorar la calidad de la atención y proteger la salud de pacientes, profesionales y visitantes.</w:t>
      </w:r>
    </w:p>
    <w:p w14:paraId="22B6F97B" w14:textId="77777777" w:rsidR="0077055C" w:rsidRPr="0077055C" w:rsidRDefault="0077055C" w:rsidP="0077055C">
      <w:pPr>
        <w:jc w:val="both"/>
        <w:rPr>
          <w:b/>
        </w:rPr>
      </w:pPr>
      <w:r w:rsidRPr="0077055C">
        <w:rPr>
          <w:b/>
        </w:rPr>
        <w:t>Bibliografía</w:t>
      </w:r>
    </w:p>
    <w:p w14:paraId="608DAC23" w14:textId="77777777" w:rsidR="0077055C" w:rsidRPr="0077055C" w:rsidRDefault="0077055C" w:rsidP="0077055C">
      <w:pPr>
        <w:numPr>
          <w:ilvl w:val="0"/>
          <w:numId w:val="72"/>
        </w:numPr>
        <w:jc w:val="both"/>
      </w:pPr>
      <w:r w:rsidRPr="0077055C">
        <w:t xml:space="preserve">Organización Mundial de la Salud. </w:t>
      </w:r>
      <w:r w:rsidRPr="0077055C">
        <w:rPr>
          <w:i/>
          <w:lang w:val="en-GB"/>
        </w:rPr>
        <w:t>WHO Guidelines on Hand Hygiene in Health Care</w:t>
      </w:r>
      <w:r w:rsidRPr="0077055C">
        <w:rPr>
          <w:lang w:val="en-GB"/>
        </w:rPr>
        <w:t xml:space="preserve">. </w:t>
      </w:r>
      <w:r w:rsidRPr="0077055C">
        <w:t>Ginebra: OMS; 2009.</w:t>
      </w:r>
    </w:p>
    <w:p w14:paraId="3611AD5B" w14:textId="77777777" w:rsidR="0077055C" w:rsidRPr="0077055C" w:rsidRDefault="0077055C" w:rsidP="0077055C">
      <w:pPr>
        <w:numPr>
          <w:ilvl w:val="0"/>
          <w:numId w:val="72"/>
        </w:numPr>
        <w:jc w:val="both"/>
      </w:pPr>
      <w:r w:rsidRPr="0077055C">
        <w:t xml:space="preserve">Organización Mundial de la Salud. </w:t>
      </w:r>
      <w:r w:rsidRPr="0077055C">
        <w:rPr>
          <w:i/>
          <w:lang w:val="en-GB"/>
        </w:rPr>
        <w:t>A Guide to the Implementation of the WHO Multimodal Hand Hygiene Improvement Strategy</w:t>
      </w:r>
      <w:r w:rsidRPr="0077055C">
        <w:rPr>
          <w:lang w:val="en-GB"/>
        </w:rPr>
        <w:t xml:space="preserve">. </w:t>
      </w:r>
      <w:r w:rsidRPr="0077055C">
        <w:t>Ginebra: OMS; 2009.</w:t>
      </w:r>
    </w:p>
    <w:p w14:paraId="5F345273" w14:textId="77777777" w:rsidR="0077055C" w:rsidRPr="0077055C" w:rsidRDefault="0077055C" w:rsidP="0077055C">
      <w:pPr>
        <w:numPr>
          <w:ilvl w:val="0"/>
          <w:numId w:val="72"/>
        </w:numPr>
        <w:jc w:val="both"/>
      </w:pPr>
      <w:r w:rsidRPr="0077055C">
        <w:t xml:space="preserve">Ministerio de Sanidad. </w:t>
      </w:r>
      <w:r w:rsidRPr="0077055C">
        <w:rPr>
          <w:i/>
        </w:rPr>
        <w:t>Estrategia de Seguridad del Paciente del Sistema Nacional de Salud 2025-2035</w:t>
      </w:r>
      <w:r w:rsidRPr="0077055C">
        <w:t>. Madrid: Ministerio de Sanidad.</w:t>
      </w:r>
    </w:p>
    <w:p w14:paraId="754BF02C" w14:textId="77777777" w:rsidR="0077055C" w:rsidRPr="0077055C" w:rsidRDefault="0077055C" w:rsidP="0077055C">
      <w:pPr>
        <w:numPr>
          <w:ilvl w:val="0"/>
          <w:numId w:val="72"/>
        </w:numPr>
        <w:jc w:val="both"/>
      </w:pPr>
      <w:r w:rsidRPr="0077055C">
        <w:t xml:space="preserve">Centro Europeo para la Prevención y el Control de las Enfermedades (ECDC). </w:t>
      </w:r>
      <w:r w:rsidRPr="0077055C">
        <w:rPr>
          <w:i/>
          <w:lang w:val="en-GB"/>
        </w:rPr>
        <w:t>Infection Prevention and Control and Preparedness for COVID-19 in Healthcare Settings</w:t>
      </w:r>
      <w:r w:rsidRPr="0077055C">
        <w:rPr>
          <w:lang w:val="en-GB"/>
        </w:rPr>
        <w:t xml:space="preserve">. </w:t>
      </w:r>
      <w:r w:rsidRPr="0077055C">
        <w:t xml:space="preserve">Estocolmo: </w:t>
      </w:r>
    </w:p>
    <w:p w14:paraId="7D49C57C" w14:textId="77777777" w:rsidR="0077055C" w:rsidRPr="0077055C" w:rsidRDefault="0077055C" w:rsidP="0077055C">
      <w:pPr>
        <w:jc w:val="both"/>
      </w:pPr>
      <w:r w:rsidRPr="0077055C">
        <w:t>ECDC.</w:t>
      </w:r>
    </w:p>
    <w:p w14:paraId="122A2FD8" w14:textId="77777777" w:rsidR="0077055C" w:rsidRPr="0077055C" w:rsidRDefault="0077055C" w:rsidP="0077055C">
      <w:pPr>
        <w:numPr>
          <w:ilvl w:val="0"/>
          <w:numId w:val="72"/>
        </w:numPr>
        <w:jc w:val="both"/>
      </w:pPr>
      <w:r w:rsidRPr="0077055C">
        <w:lastRenderedPageBreak/>
        <w:t>Sociedad Española de Medicina Preventiva, Salud Pública e Higiene. Recomendaciones para la higiene de manos y prevención de las infecciones relacionadas con la asistencia sanitaria.</w:t>
      </w:r>
    </w:p>
    <w:p w14:paraId="46362A50" w14:textId="77777777" w:rsidR="00410026" w:rsidRPr="0077055C" w:rsidRDefault="00410026" w:rsidP="00410026">
      <w:pPr>
        <w:jc w:val="both"/>
      </w:pPr>
    </w:p>
    <w:p w14:paraId="49D33C0A" w14:textId="77777777" w:rsidR="00DC5308" w:rsidRDefault="00DC5308" w:rsidP="000E46B3">
      <w:pPr>
        <w:jc w:val="both"/>
      </w:pPr>
    </w:p>
    <w:p w14:paraId="029027AA" w14:textId="77777777" w:rsidR="0077055C" w:rsidRDefault="0077055C" w:rsidP="000E46B3">
      <w:pPr>
        <w:jc w:val="both"/>
      </w:pPr>
    </w:p>
    <w:p w14:paraId="2CF1D815" w14:textId="77777777" w:rsidR="0077055C" w:rsidRDefault="0077055C" w:rsidP="000E46B3">
      <w:pPr>
        <w:jc w:val="both"/>
      </w:pPr>
    </w:p>
    <w:p w14:paraId="4D039533" w14:textId="77777777" w:rsidR="0077055C" w:rsidRDefault="0077055C" w:rsidP="000E46B3">
      <w:pPr>
        <w:jc w:val="both"/>
      </w:pPr>
    </w:p>
    <w:p w14:paraId="4284FCAB" w14:textId="77777777" w:rsidR="0077055C" w:rsidRDefault="0077055C" w:rsidP="000E46B3">
      <w:pPr>
        <w:jc w:val="both"/>
      </w:pPr>
    </w:p>
    <w:p w14:paraId="19838C75" w14:textId="77777777" w:rsidR="0077055C" w:rsidRDefault="0077055C" w:rsidP="000E46B3">
      <w:pPr>
        <w:jc w:val="both"/>
      </w:pPr>
    </w:p>
    <w:p w14:paraId="0E4F8CF2" w14:textId="77777777" w:rsidR="0077055C" w:rsidRDefault="0077055C" w:rsidP="000E46B3">
      <w:pPr>
        <w:jc w:val="both"/>
      </w:pPr>
    </w:p>
    <w:p w14:paraId="2C94072A" w14:textId="77777777" w:rsidR="0077055C" w:rsidRDefault="0077055C" w:rsidP="000E46B3">
      <w:pPr>
        <w:jc w:val="both"/>
      </w:pPr>
    </w:p>
    <w:p w14:paraId="47FF0240" w14:textId="77777777" w:rsidR="0077055C" w:rsidRDefault="0077055C" w:rsidP="000E46B3">
      <w:pPr>
        <w:jc w:val="both"/>
      </w:pPr>
    </w:p>
    <w:p w14:paraId="0F990F93" w14:textId="77777777" w:rsidR="0077055C" w:rsidRDefault="0077055C" w:rsidP="000E46B3">
      <w:pPr>
        <w:jc w:val="both"/>
      </w:pPr>
    </w:p>
    <w:p w14:paraId="1100A762" w14:textId="77777777" w:rsidR="0077055C" w:rsidRDefault="0077055C" w:rsidP="000E46B3">
      <w:pPr>
        <w:jc w:val="both"/>
      </w:pPr>
    </w:p>
    <w:p w14:paraId="759C433E" w14:textId="77777777" w:rsidR="0077055C" w:rsidRDefault="0077055C" w:rsidP="000E46B3">
      <w:pPr>
        <w:jc w:val="both"/>
      </w:pPr>
    </w:p>
    <w:p w14:paraId="6F999A07" w14:textId="77777777" w:rsidR="0077055C" w:rsidRDefault="0077055C" w:rsidP="000E46B3">
      <w:pPr>
        <w:jc w:val="both"/>
      </w:pPr>
    </w:p>
    <w:p w14:paraId="6E583996" w14:textId="77777777" w:rsidR="0077055C" w:rsidRDefault="0077055C" w:rsidP="000E46B3">
      <w:pPr>
        <w:jc w:val="both"/>
      </w:pPr>
    </w:p>
    <w:p w14:paraId="059DA724" w14:textId="77777777" w:rsidR="0077055C" w:rsidRDefault="0077055C" w:rsidP="000E46B3">
      <w:pPr>
        <w:jc w:val="both"/>
      </w:pPr>
    </w:p>
    <w:p w14:paraId="079701E8" w14:textId="77777777" w:rsidR="0077055C" w:rsidRDefault="0077055C" w:rsidP="000E46B3">
      <w:pPr>
        <w:jc w:val="both"/>
      </w:pPr>
    </w:p>
    <w:p w14:paraId="37BDC3E2" w14:textId="77777777" w:rsidR="0077055C" w:rsidRDefault="0077055C" w:rsidP="000E46B3">
      <w:pPr>
        <w:jc w:val="both"/>
      </w:pPr>
    </w:p>
    <w:p w14:paraId="41154A15" w14:textId="77777777" w:rsidR="0077055C" w:rsidRDefault="0077055C" w:rsidP="000E46B3">
      <w:pPr>
        <w:jc w:val="both"/>
      </w:pPr>
    </w:p>
    <w:p w14:paraId="54DA0485" w14:textId="77777777" w:rsidR="0077055C" w:rsidRDefault="0077055C" w:rsidP="000E46B3">
      <w:pPr>
        <w:jc w:val="both"/>
      </w:pPr>
    </w:p>
    <w:p w14:paraId="629EC9C8" w14:textId="77777777" w:rsidR="0077055C" w:rsidRDefault="0077055C" w:rsidP="000E46B3">
      <w:pPr>
        <w:jc w:val="both"/>
      </w:pPr>
    </w:p>
    <w:p w14:paraId="7674C317" w14:textId="77777777" w:rsidR="0077055C" w:rsidRDefault="0077055C" w:rsidP="000E46B3">
      <w:pPr>
        <w:jc w:val="both"/>
      </w:pPr>
    </w:p>
    <w:p w14:paraId="0F7BA067" w14:textId="77777777" w:rsidR="0077055C" w:rsidRDefault="0077055C" w:rsidP="000E46B3">
      <w:pPr>
        <w:jc w:val="both"/>
      </w:pPr>
    </w:p>
    <w:p w14:paraId="6ED21ACB" w14:textId="77777777" w:rsidR="0077055C" w:rsidRDefault="0077055C" w:rsidP="000E46B3">
      <w:pPr>
        <w:jc w:val="both"/>
      </w:pPr>
    </w:p>
    <w:p w14:paraId="6DCE7564" w14:textId="77777777" w:rsidR="0077055C" w:rsidRDefault="0077055C" w:rsidP="000E46B3">
      <w:pPr>
        <w:jc w:val="both"/>
      </w:pPr>
    </w:p>
    <w:p w14:paraId="066BA768" w14:textId="77777777" w:rsidR="0077055C" w:rsidRDefault="0077055C" w:rsidP="000E46B3">
      <w:pPr>
        <w:jc w:val="both"/>
      </w:pPr>
    </w:p>
    <w:p w14:paraId="67558DEE" w14:textId="77777777" w:rsidR="00892BF7" w:rsidRPr="00892BF7" w:rsidRDefault="00892BF7" w:rsidP="00892BF7">
      <w:pPr>
        <w:jc w:val="both"/>
      </w:pPr>
      <w:proofErr w:type="gramStart"/>
      <w:r w:rsidRPr="00892BF7">
        <w:rPr>
          <w:b/>
        </w:rPr>
        <w:lastRenderedPageBreak/>
        <w:t>MOBBING</w:t>
      </w:r>
      <w:proofErr w:type="gramEnd"/>
      <w:r w:rsidRPr="00892BF7">
        <w:rPr>
          <w:b/>
        </w:rPr>
        <w:t xml:space="preserve"> LABORAL EN CENTROS SANITARIOS: GUÍA PARA PROFESIONALES SANITARIOS Y NO SANITARIOS</w:t>
      </w:r>
    </w:p>
    <w:p w14:paraId="5832DD71" w14:textId="77777777" w:rsidR="00892BF7" w:rsidRPr="00892BF7" w:rsidRDefault="00892BF7" w:rsidP="00892BF7">
      <w:pPr>
        <w:jc w:val="both"/>
        <w:rPr>
          <w:b/>
        </w:rPr>
      </w:pPr>
      <w:r w:rsidRPr="00892BF7">
        <w:rPr>
          <w:b/>
        </w:rPr>
        <w:t>Introducción</w:t>
      </w:r>
    </w:p>
    <w:p w14:paraId="32662D2A" w14:textId="77777777" w:rsidR="00892BF7" w:rsidRPr="00892BF7" w:rsidRDefault="00892BF7" w:rsidP="00892BF7">
      <w:pPr>
        <w:jc w:val="both"/>
      </w:pPr>
      <w:r w:rsidRPr="00892BF7">
        <w:t xml:space="preserve">El </w:t>
      </w:r>
      <w:proofErr w:type="spellStart"/>
      <w:proofErr w:type="gramStart"/>
      <w:r w:rsidRPr="00892BF7">
        <w:t>mobbing</w:t>
      </w:r>
      <w:proofErr w:type="spellEnd"/>
      <w:proofErr w:type="gramEnd"/>
      <w:r w:rsidRPr="00892BF7">
        <w:t xml:space="preserve"> o acoso laboral constituye un problema de creciente relevancia en los centros sanitarios debido a su impacto sobre la salud física y psicológica de los trabajadores, el clima laboral y la calidad asistencial. Se caracteriza por la exposición repetida y prolongada a conductas hostiles, humillantes o intimidatorias dirigidas hacia un trabajador, con el objetivo o el efecto de deteriorar su bienestar o favorecer su exclusión del entorno laboral. Este fenómeno puede afectar tanto al personal sanitario (médicos, enfermeras, fisioterapeutas o técnicos sanitarios) como al personal no sanitario (administrativos, celadores, personal de limpieza, mantenimiento o gestión), siendo un riesgo psicosocial que requiere estrategias de prevención, detección precoz e intervención.</w:t>
      </w:r>
    </w:p>
    <w:p w14:paraId="14DF7A6E" w14:textId="77777777" w:rsidR="00892BF7" w:rsidRPr="00892BF7" w:rsidRDefault="00892BF7" w:rsidP="00892BF7">
      <w:pPr>
        <w:jc w:val="both"/>
        <w:rPr>
          <w:b/>
        </w:rPr>
      </w:pPr>
      <w:r w:rsidRPr="00892BF7">
        <w:rPr>
          <w:b/>
        </w:rPr>
        <w:t>Material y métodos</w:t>
      </w:r>
    </w:p>
    <w:p w14:paraId="5C687D17" w14:textId="77777777" w:rsidR="00892BF7" w:rsidRPr="00892BF7" w:rsidRDefault="00892BF7" w:rsidP="00892BF7">
      <w:pPr>
        <w:jc w:val="both"/>
      </w:pPr>
      <w:r w:rsidRPr="00892BF7">
        <w:t xml:space="preserve">Se realizó una revisión narrativa de la literatura científica y de la normativa vigente relacionada con el acoso laboral en el ámbito sanitario. Se consultaron artículos publicados en bases de datos biomédicas como PubMed, </w:t>
      </w:r>
      <w:proofErr w:type="spellStart"/>
      <w:r w:rsidRPr="00892BF7">
        <w:t>Scopus</w:t>
      </w:r>
      <w:proofErr w:type="spellEnd"/>
      <w:r w:rsidRPr="00892BF7">
        <w:t xml:space="preserve"> y Google Scholar, así como documentos técnicos elaborados por organismos nacionales e internacionales especializados en seguridad y salud laboral. La búsqueda incluyó publicaciones en español e inglés de los últimos diez años mediante los términos "</w:t>
      </w:r>
      <w:proofErr w:type="spellStart"/>
      <w:proofErr w:type="gramStart"/>
      <w:r w:rsidRPr="00892BF7">
        <w:t>mobbing</w:t>
      </w:r>
      <w:proofErr w:type="spellEnd"/>
      <w:proofErr w:type="gramEnd"/>
      <w:r w:rsidRPr="00892BF7">
        <w:t>", "acoso laboral", "personal sanitario", "riesgos psicosociales" y "prevención". Asimismo, se revisaron protocolos de actuación frente al acoso laboral desarrollados por servicios de salud y organismos de prevención de riesgos laborales.</w:t>
      </w:r>
    </w:p>
    <w:p w14:paraId="2F93BEDD" w14:textId="77777777" w:rsidR="00892BF7" w:rsidRPr="00892BF7" w:rsidRDefault="00892BF7" w:rsidP="00892BF7">
      <w:pPr>
        <w:jc w:val="both"/>
        <w:rPr>
          <w:b/>
        </w:rPr>
      </w:pPr>
      <w:r w:rsidRPr="00892BF7">
        <w:rPr>
          <w:b/>
        </w:rPr>
        <w:t>Resultados</w:t>
      </w:r>
    </w:p>
    <w:p w14:paraId="520DE027" w14:textId="77777777" w:rsidR="00892BF7" w:rsidRPr="00892BF7" w:rsidRDefault="00892BF7" w:rsidP="00892BF7">
      <w:pPr>
        <w:jc w:val="both"/>
      </w:pPr>
      <w:r w:rsidRPr="00892BF7">
        <w:t xml:space="preserve">La evidencia científica muestra que el </w:t>
      </w:r>
      <w:proofErr w:type="spellStart"/>
      <w:proofErr w:type="gramStart"/>
      <w:r w:rsidRPr="00892BF7">
        <w:t>mobbing</w:t>
      </w:r>
      <w:proofErr w:type="spellEnd"/>
      <w:proofErr w:type="gramEnd"/>
      <w:r w:rsidRPr="00892BF7">
        <w:t xml:space="preserve"> presenta una prevalencia significativa en los entornos sanitarios, favorecida por factores como la elevada carga asistencial, la presión organizativa, la escasez de recursos, las relaciones jerárquicas complejas y los conflictos interpersonales. Entre las conductas más frecuentes se encuentran el aislamiento social, la descalificación profesional, la difusión de rumores, la asignación de tareas degradantes o desproporcionadas y la exclusión de la comunicación del equipo.</w:t>
      </w:r>
    </w:p>
    <w:p w14:paraId="795D1706" w14:textId="77777777" w:rsidR="00892BF7" w:rsidRPr="00892BF7" w:rsidRDefault="00892BF7" w:rsidP="00892BF7">
      <w:pPr>
        <w:jc w:val="both"/>
      </w:pPr>
      <w:r w:rsidRPr="00892BF7">
        <w:t>Las consecuencias afectan tanto a la persona como a la organización. En los trabajadores se han descrito ansiedad, depresión, trastornos del sueño, síndrome de desgaste profesional, disminución de la autoestima y aumento del absentismo laboral. En las instituciones sanitarias se observa una reducción del rendimiento, mayor rotación del personal, deterioro del clima organizacional, incremento de los conflictos y posible repercusión negativa sobre la seguridad del paciente.</w:t>
      </w:r>
    </w:p>
    <w:p w14:paraId="03493FBD" w14:textId="77777777" w:rsidR="00892BF7" w:rsidRPr="00892BF7" w:rsidRDefault="00892BF7" w:rsidP="00892BF7">
      <w:pPr>
        <w:jc w:val="both"/>
      </w:pPr>
      <w:r w:rsidRPr="00892BF7">
        <w:lastRenderedPageBreak/>
        <w:t>La literatura revisada coincide en que las medidas preventivas más eficaces incluyen la implantación de protocolos específicos contra el acoso, la formación de todo el personal, la promoción de un liderazgo respetuoso, la existencia de canales confidenciales de denuncia y la actuación rápida e imparcial ante cualquier sospecha de acoso.</w:t>
      </w:r>
    </w:p>
    <w:p w14:paraId="2C1EE132" w14:textId="77777777" w:rsidR="00892BF7" w:rsidRPr="00892BF7" w:rsidRDefault="00892BF7" w:rsidP="00892BF7">
      <w:pPr>
        <w:jc w:val="both"/>
        <w:rPr>
          <w:b/>
        </w:rPr>
      </w:pPr>
      <w:r w:rsidRPr="00892BF7">
        <w:rPr>
          <w:b/>
        </w:rPr>
        <w:t>Conclusiones</w:t>
      </w:r>
    </w:p>
    <w:p w14:paraId="37B20319" w14:textId="77777777" w:rsidR="00892BF7" w:rsidRPr="00892BF7" w:rsidRDefault="00892BF7" w:rsidP="00892BF7">
      <w:pPr>
        <w:jc w:val="both"/>
      </w:pPr>
      <w:r w:rsidRPr="00892BF7">
        <w:t xml:space="preserve">El </w:t>
      </w:r>
      <w:proofErr w:type="spellStart"/>
      <w:proofErr w:type="gramStart"/>
      <w:r w:rsidRPr="00892BF7">
        <w:t>mobbing</w:t>
      </w:r>
      <w:proofErr w:type="spellEnd"/>
      <w:proofErr w:type="gramEnd"/>
      <w:r w:rsidRPr="00892BF7">
        <w:t xml:space="preserve"> representa un importante riesgo psicosocial en los centros sanitarios que afecta tanto al personal sanitario como al no sanitario. Su prevención requiere un compromiso institucional basado en políticas de tolerancia cero, formación continuada, evaluación periódica de los riesgos psicosociales y procedimientos eficaces para la gestión de los conflictos. La creación de entornos laborales seguros, respetuosos y colaborativos favorece el bienestar de los profesionales, mejora el clima laboral y contribuye a ofrecer una atención sanitaria de mayor calidad y seguridad para los pacientes.</w:t>
      </w:r>
    </w:p>
    <w:p w14:paraId="432DAEF2" w14:textId="77777777" w:rsidR="00892BF7" w:rsidRPr="00892BF7" w:rsidRDefault="00892BF7" w:rsidP="00892BF7">
      <w:pPr>
        <w:jc w:val="both"/>
        <w:rPr>
          <w:b/>
        </w:rPr>
      </w:pPr>
      <w:r w:rsidRPr="00892BF7">
        <w:rPr>
          <w:b/>
        </w:rPr>
        <w:t>Bibliografía</w:t>
      </w:r>
    </w:p>
    <w:p w14:paraId="4A9D6416" w14:textId="77777777" w:rsidR="00892BF7" w:rsidRPr="00892BF7" w:rsidRDefault="00892BF7" w:rsidP="00892BF7">
      <w:pPr>
        <w:numPr>
          <w:ilvl w:val="0"/>
          <w:numId w:val="73"/>
        </w:numPr>
        <w:jc w:val="both"/>
      </w:pPr>
      <w:r w:rsidRPr="00892BF7">
        <w:t>Ley 31/1995, de 8 de noviembre, de Prevención de Riesgos Laborales.</w:t>
      </w:r>
    </w:p>
    <w:p w14:paraId="13158898" w14:textId="77777777" w:rsidR="00892BF7" w:rsidRPr="00892BF7" w:rsidRDefault="00892BF7" w:rsidP="00892BF7">
      <w:pPr>
        <w:numPr>
          <w:ilvl w:val="0"/>
          <w:numId w:val="73"/>
        </w:numPr>
        <w:jc w:val="both"/>
      </w:pPr>
      <w:r w:rsidRPr="00892BF7">
        <w:t xml:space="preserve">Instituto Nacional de Seguridad y Salud en el Trabajo (INSST). </w:t>
      </w:r>
      <w:r w:rsidRPr="00892BF7">
        <w:rPr>
          <w:i/>
        </w:rPr>
        <w:t>NTP 854. Acoso psicológico en el trabajo: definición</w:t>
      </w:r>
      <w:r w:rsidRPr="00892BF7">
        <w:t>. Madrid: INSST.</w:t>
      </w:r>
    </w:p>
    <w:p w14:paraId="3C25F893" w14:textId="77777777" w:rsidR="00892BF7" w:rsidRPr="00892BF7" w:rsidRDefault="00892BF7" w:rsidP="00892BF7">
      <w:pPr>
        <w:numPr>
          <w:ilvl w:val="0"/>
          <w:numId w:val="73"/>
        </w:numPr>
        <w:jc w:val="both"/>
      </w:pPr>
      <w:r w:rsidRPr="00892BF7">
        <w:rPr>
          <w:lang w:val="en-GB"/>
        </w:rPr>
        <w:t xml:space="preserve">Organización Internacional del </w:t>
      </w:r>
      <w:proofErr w:type="spellStart"/>
      <w:r w:rsidRPr="00892BF7">
        <w:rPr>
          <w:lang w:val="en-GB"/>
        </w:rPr>
        <w:t>Trabajo</w:t>
      </w:r>
      <w:proofErr w:type="spellEnd"/>
      <w:r w:rsidRPr="00892BF7">
        <w:rPr>
          <w:lang w:val="en-GB"/>
        </w:rPr>
        <w:t xml:space="preserve">. </w:t>
      </w:r>
      <w:r w:rsidRPr="00892BF7">
        <w:rPr>
          <w:i/>
          <w:lang w:val="en-GB"/>
        </w:rPr>
        <w:t>Violence and Harassment in the World of Work</w:t>
      </w:r>
      <w:r w:rsidRPr="00892BF7">
        <w:rPr>
          <w:lang w:val="en-GB"/>
        </w:rPr>
        <w:t xml:space="preserve">. </w:t>
      </w:r>
      <w:r w:rsidRPr="00892BF7">
        <w:t>Ginebra: OIT; 2019.</w:t>
      </w:r>
    </w:p>
    <w:p w14:paraId="17BDF293" w14:textId="77777777" w:rsidR="00892BF7" w:rsidRPr="00892BF7" w:rsidRDefault="00892BF7" w:rsidP="00892BF7">
      <w:pPr>
        <w:numPr>
          <w:ilvl w:val="0"/>
          <w:numId w:val="73"/>
        </w:numPr>
        <w:jc w:val="both"/>
        <w:rPr>
          <w:lang w:val="en-GB"/>
        </w:rPr>
      </w:pPr>
      <w:r w:rsidRPr="00892BF7">
        <w:t xml:space="preserve">Organización Mundial de la Salud. </w:t>
      </w:r>
      <w:r w:rsidRPr="00892BF7">
        <w:rPr>
          <w:i/>
          <w:lang w:val="en-GB"/>
        </w:rPr>
        <w:t>Mental Health at Work</w:t>
      </w:r>
      <w:r w:rsidRPr="00892BF7">
        <w:rPr>
          <w:lang w:val="en-GB"/>
        </w:rPr>
        <w:t>. Ginebra: OMS; 2022.</w:t>
      </w:r>
    </w:p>
    <w:p w14:paraId="6D0FBCB4" w14:textId="77777777" w:rsidR="00892BF7" w:rsidRPr="00892BF7" w:rsidRDefault="00892BF7" w:rsidP="00892BF7">
      <w:pPr>
        <w:numPr>
          <w:ilvl w:val="0"/>
          <w:numId w:val="73"/>
        </w:numPr>
        <w:jc w:val="both"/>
        <w:rPr>
          <w:lang w:val="en-GB"/>
        </w:rPr>
      </w:pPr>
      <w:r w:rsidRPr="00892BF7">
        <w:rPr>
          <w:lang w:val="en-GB"/>
        </w:rPr>
        <w:t xml:space="preserve">Einarsen S, Hoel H, Zapf D, Cooper CL, eds. </w:t>
      </w:r>
      <w:r w:rsidRPr="00892BF7">
        <w:rPr>
          <w:i/>
          <w:lang w:val="en-GB"/>
        </w:rPr>
        <w:t xml:space="preserve">Bullying and Harassment in the Workplace: </w:t>
      </w:r>
    </w:p>
    <w:p w14:paraId="0FC7344A" w14:textId="77777777" w:rsidR="00892BF7" w:rsidRPr="00892BF7" w:rsidRDefault="00892BF7" w:rsidP="00892BF7">
      <w:pPr>
        <w:jc w:val="both"/>
      </w:pPr>
      <w:r w:rsidRPr="00892BF7">
        <w:rPr>
          <w:i/>
          <w:lang w:val="en-GB"/>
        </w:rPr>
        <w:t>Theory, Research and Practice</w:t>
      </w:r>
      <w:r w:rsidRPr="00892BF7">
        <w:rPr>
          <w:lang w:val="en-GB"/>
        </w:rPr>
        <w:t xml:space="preserve">. 3rd ed. </w:t>
      </w:r>
      <w:r w:rsidRPr="00892BF7">
        <w:t xml:space="preserve">Boca </w:t>
      </w:r>
      <w:proofErr w:type="spellStart"/>
      <w:r w:rsidRPr="00892BF7">
        <w:t>Raton</w:t>
      </w:r>
      <w:proofErr w:type="spellEnd"/>
      <w:r w:rsidRPr="00892BF7">
        <w:t>: CRC Press; 2020.</w:t>
      </w:r>
    </w:p>
    <w:p w14:paraId="44DEFB54" w14:textId="77777777" w:rsidR="0077055C" w:rsidRDefault="0077055C" w:rsidP="000E46B3">
      <w:pPr>
        <w:jc w:val="both"/>
      </w:pPr>
    </w:p>
    <w:p w14:paraId="4C01DED9" w14:textId="77777777" w:rsidR="00892BF7" w:rsidRDefault="00892BF7" w:rsidP="000E46B3">
      <w:pPr>
        <w:jc w:val="both"/>
      </w:pPr>
    </w:p>
    <w:p w14:paraId="674C2825" w14:textId="77777777" w:rsidR="00892BF7" w:rsidRDefault="00892BF7" w:rsidP="000E46B3">
      <w:pPr>
        <w:jc w:val="both"/>
      </w:pPr>
    </w:p>
    <w:p w14:paraId="5BE3491D" w14:textId="77777777" w:rsidR="00892BF7" w:rsidRDefault="00892BF7" w:rsidP="000E46B3">
      <w:pPr>
        <w:jc w:val="both"/>
      </w:pPr>
    </w:p>
    <w:p w14:paraId="6B08028A" w14:textId="77777777" w:rsidR="00892BF7" w:rsidRDefault="00892BF7" w:rsidP="000E46B3">
      <w:pPr>
        <w:jc w:val="both"/>
      </w:pPr>
    </w:p>
    <w:p w14:paraId="64A8D71C" w14:textId="77777777" w:rsidR="00892BF7" w:rsidRDefault="00892BF7" w:rsidP="000E46B3">
      <w:pPr>
        <w:jc w:val="both"/>
      </w:pPr>
    </w:p>
    <w:p w14:paraId="15519637" w14:textId="77777777" w:rsidR="00892BF7" w:rsidRDefault="00892BF7" w:rsidP="000E46B3">
      <w:pPr>
        <w:jc w:val="both"/>
      </w:pPr>
    </w:p>
    <w:p w14:paraId="715DC0E3" w14:textId="77777777" w:rsidR="00892BF7" w:rsidRDefault="00892BF7" w:rsidP="000E46B3">
      <w:pPr>
        <w:jc w:val="both"/>
      </w:pPr>
    </w:p>
    <w:p w14:paraId="7106461F" w14:textId="77777777" w:rsidR="00994EE7" w:rsidRPr="00994EE7" w:rsidRDefault="00994EE7" w:rsidP="00994EE7">
      <w:pPr>
        <w:jc w:val="both"/>
      </w:pPr>
      <w:proofErr w:type="spellStart"/>
      <w:r w:rsidRPr="00994EE7">
        <w:rPr>
          <w:b/>
        </w:rPr>
        <w:lastRenderedPageBreak/>
        <w:t>Micropausas</w:t>
      </w:r>
      <w:proofErr w:type="spellEnd"/>
      <w:r w:rsidRPr="00994EE7">
        <w:rPr>
          <w:b/>
        </w:rPr>
        <w:t xml:space="preserve"> y rotación de tareas: estrategias ergonómicas para prevenir la fatiga musculoesquelética en el personal sanitario y no sanitario</w:t>
      </w:r>
    </w:p>
    <w:p w14:paraId="18BD1125" w14:textId="77777777" w:rsidR="00994EE7" w:rsidRPr="00994EE7" w:rsidRDefault="00994EE7" w:rsidP="00994EE7">
      <w:pPr>
        <w:jc w:val="both"/>
        <w:rPr>
          <w:b/>
        </w:rPr>
      </w:pPr>
      <w:r w:rsidRPr="00994EE7">
        <w:rPr>
          <w:b/>
        </w:rPr>
        <w:t>Introducción</w:t>
      </w:r>
    </w:p>
    <w:p w14:paraId="284771EA" w14:textId="77777777" w:rsidR="00994EE7" w:rsidRPr="00994EE7" w:rsidRDefault="00994EE7" w:rsidP="00994EE7">
      <w:pPr>
        <w:jc w:val="both"/>
      </w:pPr>
      <w:r w:rsidRPr="00994EE7">
        <w:t xml:space="preserve">Los trastornos musculoesqueléticos continúan siendo una de las principales causas de incapacidad temporal y de limitación funcional en el ámbito laboral. Aunque tradicionalmente se han asociado a la manipulación manual de cargas o a los movimientos repetitivos, la evidencia actual demuestra que la permanencia prolongada en una misma postura, la repetición continua de una tarea y la ausencia de periodos de recuperación también incrementan significativamente el riesgo de lesión. </w:t>
      </w:r>
    </w:p>
    <w:p w14:paraId="57E9DDB2" w14:textId="77777777" w:rsidR="00994EE7" w:rsidRPr="00994EE7" w:rsidRDefault="00994EE7" w:rsidP="00994EE7">
      <w:pPr>
        <w:jc w:val="both"/>
      </w:pPr>
      <w:r w:rsidRPr="00994EE7">
        <w:t xml:space="preserve">La ergonomía propone diferentes estrategias para reducir la carga física acumulada. Entre ellas destacan las </w:t>
      </w:r>
      <w:proofErr w:type="spellStart"/>
      <w:r w:rsidRPr="00994EE7">
        <w:t>micropausas</w:t>
      </w:r>
      <w:proofErr w:type="spellEnd"/>
      <w:r w:rsidRPr="00994EE7">
        <w:t>, consistentes en descansos breves distribuidos durante la jornada, y la rotación de tareas, que permite alternar actividades con distintas exigencias físicas y cognitivas. Estas medidas son aplicables tanto al personal sanitario como al no sanitario y favorecen la recuperación muscular sin disminuir la productividad cuando se integran adecuadamente en la organización del trabajo.</w:t>
      </w:r>
    </w:p>
    <w:p w14:paraId="41EADEA4" w14:textId="77777777" w:rsidR="00994EE7" w:rsidRPr="00994EE7" w:rsidRDefault="00994EE7" w:rsidP="00994EE7">
      <w:pPr>
        <w:jc w:val="both"/>
        <w:rPr>
          <w:b/>
        </w:rPr>
      </w:pPr>
      <w:r w:rsidRPr="00994EE7">
        <w:rPr>
          <w:b/>
        </w:rPr>
        <w:t>Objetivo</w:t>
      </w:r>
    </w:p>
    <w:p w14:paraId="6A6BFF69" w14:textId="77777777" w:rsidR="00994EE7" w:rsidRPr="00994EE7" w:rsidRDefault="00994EE7" w:rsidP="00994EE7">
      <w:pPr>
        <w:jc w:val="both"/>
      </w:pPr>
      <w:r w:rsidRPr="00994EE7">
        <w:t xml:space="preserve">Analizar la eficacia de las </w:t>
      </w:r>
      <w:proofErr w:type="spellStart"/>
      <w:r w:rsidRPr="00994EE7">
        <w:t>micropausas</w:t>
      </w:r>
      <w:proofErr w:type="spellEnd"/>
      <w:r w:rsidRPr="00994EE7">
        <w:t xml:space="preserve"> y la rotación de tareas como medidas ergonómicas para disminuir la fatiga musculoesquelética y prevenir lesiones en el personal sanitario y no sanitario.</w:t>
      </w:r>
    </w:p>
    <w:p w14:paraId="4C324413" w14:textId="77777777" w:rsidR="00994EE7" w:rsidRPr="00994EE7" w:rsidRDefault="00994EE7" w:rsidP="00994EE7">
      <w:pPr>
        <w:jc w:val="both"/>
        <w:rPr>
          <w:b/>
        </w:rPr>
      </w:pPr>
      <w:r w:rsidRPr="00994EE7">
        <w:rPr>
          <w:b/>
        </w:rPr>
        <w:t>Material y método</w:t>
      </w:r>
    </w:p>
    <w:p w14:paraId="3F6A5A14" w14:textId="77777777" w:rsidR="00994EE7" w:rsidRPr="00994EE7" w:rsidRDefault="00994EE7" w:rsidP="00994EE7">
      <w:pPr>
        <w:jc w:val="both"/>
      </w:pPr>
      <w:r w:rsidRPr="00994EE7">
        <w:t xml:space="preserve">Se realizó una revisión bibliográfica descriptiva mediante la consulta de artículos científicos, revisiones de literatura y documentos técnicos publicados entre 2016 y 2025. Se revisaron publicaciones sobre ergonomía ocupacional, prevención de trastornos musculoesqueléticos y organización del trabajo, así como documentos técnicos del Instituto Nacional de Seguridad y Salud en el Trabajo. </w:t>
      </w:r>
    </w:p>
    <w:p w14:paraId="6E0E8E8D" w14:textId="77777777" w:rsidR="00994EE7" w:rsidRPr="00994EE7" w:rsidRDefault="00994EE7" w:rsidP="00994EE7">
      <w:pPr>
        <w:jc w:val="both"/>
        <w:rPr>
          <w:b/>
        </w:rPr>
      </w:pPr>
      <w:r w:rsidRPr="00994EE7">
        <w:rPr>
          <w:b/>
        </w:rPr>
        <w:t>Resultados</w:t>
      </w:r>
    </w:p>
    <w:p w14:paraId="3F7F9688" w14:textId="77777777" w:rsidR="00994EE7" w:rsidRPr="00994EE7" w:rsidRDefault="00994EE7" w:rsidP="00994EE7">
      <w:pPr>
        <w:jc w:val="both"/>
      </w:pPr>
      <w:r w:rsidRPr="00994EE7">
        <w:t xml:space="preserve">La literatura científica muestra que la exposición continuada a una misma postura o movimiento produce fatiga muscular progresiva y disminuye la capacidad funcional del trabajador. La introducción de </w:t>
      </w:r>
      <w:proofErr w:type="spellStart"/>
      <w:r w:rsidRPr="00994EE7">
        <w:t>micropausas</w:t>
      </w:r>
      <w:proofErr w:type="spellEnd"/>
      <w:r w:rsidRPr="00994EE7">
        <w:t xml:space="preserve"> de corta duración favorece la recuperación de la musculatura, mejora la circulación sanguínea y reduce la sensación de cansancio al finalizar la jornada. </w:t>
      </w:r>
    </w:p>
    <w:p w14:paraId="1CBEBB0C" w14:textId="77777777" w:rsidR="00994EE7" w:rsidRPr="00994EE7" w:rsidRDefault="00994EE7" w:rsidP="00994EE7">
      <w:pPr>
        <w:jc w:val="both"/>
      </w:pPr>
      <w:r w:rsidRPr="00994EE7">
        <w:t xml:space="preserve">En el personal sanitario, alternar actividades asistenciales con tareas de preparación de material, registro de información o desplazamientos controlados </w:t>
      </w:r>
      <w:r w:rsidRPr="00994EE7">
        <w:lastRenderedPageBreak/>
        <w:t>disminuye la sobrecarga derivada de la movilización de pacientes y de las posturas mantenidas durante determinados procedimientos.</w:t>
      </w:r>
    </w:p>
    <w:p w14:paraId="5C1A7474" w14:textId="77777777" w:rsidR="00994EE7" w:rsidRPr="00994EE7" w:rsidRDefault="00994EE7" w:rsidP="00994EE7">
      <w:pPr>
        <w:jc w:val="both"/>
      </w:pPr>
      <w:r w:rsidRPr="00994EE7">
        <w:t>En el personal no sanitario, la rotación entre actividades administrativas, atención al público, reposición de material, limpieza, mantenimiento u otras funciones compatibles reduce la repetición continuada de los mismos movimientos y distribuye de forma más equilibrada la carga física.</w:t>
      </w:r>
    </w:p>
    <w:p w14:paraId="7DF26FB6" w14:textId="77777777" w:rsidR="00994EE7" w:rsidRPr="00994EE7" w:rsidRDefault="00994EE7" w:rsidP="00994EE7">
      <w:pPr>
        <w:jc w:val="both"/>
      </w:pPr>
      <w:r w:rsidRPr="00994EE7">
        <w:t xml:space="preserve">Los estudios también destacan que las </w:t>
      </w:r>
      <w:proofErr w:type="spellStart"/>
      <w:r w:rsidRPr="00994EE7">
        <w:t>micropausas</w:t>
      </w:r>
      <w:proofErr w:type="spellEnd"/>
      <w:r w:rsidRPr="00994EE7">
        <w:t xml:space="preserve"> resultan más eficaces cuando se aprovechan para realizar estiramientos suaves, cambios posturales o pequeños desplazamientos, evitando permanecer inmóvil durante largos periodos.</w:t>
      </w:r>
    </w:p>
    <w:p w14:paraId="58B496B2" w14:textId="77777777" w:rsidR="00994EE7" w:rsidRPr="00994EE7" w:rsidRDefault="00994EE7" w:rsidP="00994EE7">
      <w:pPr>
        <w:jc w:val="both"/>
      </w:pPr>
      <w:r w:rsidRPr="00994EE7">
        <w:t>Asimismo, la planificación ergonómica de la jornada, junto con la participación de los trabajadores en el diseño de las tareas, facilita la implantación de estas medidas preventivas y mejora su aceptación por parte de los equipos.</w:t>
      </w:r>
    </w:p>
    <w:p w14:paraId="230614FD" w14:textId="77777777" w:rsidR="00994EE7" w:rsidRPr="00994EE7" w:rsidRDefault="00994EE7" w:rsidP="00994EE7">
      <w:pPr>
        <w:jc w:val="both"/>
        <w:rPr>
          <w:b/>
        </w:rPr>
      </w:pPr>
      <w:r w:rsidRPr="00994EE7">
        <w:rPr>
          <w:b/>
        </w:rPr>
        <w:t>Conclusiones</w:t>
      </w:r>
    </w:p>
    <w:p w14:paraId="3B5FFE16" w14:textId="77777777" w:rsidR="00994EE7" w:rsidRPr="00994EE7" w:rsidRDefault="00994EE7" w:rsidP="00994EE7">
      <w:pPr>
        <w:jc w:val="both"/>
      </w:pPr>
      <w:r w:rsidRPr="00994EE7">
        <w:t xml:space="preserve">Las </w:t>
      </w:r>
      <w:proofErr w:type="spellStart"/>
      <w:r w:rsidRPr="00994EE7">
        <w:t>micropausas</w:t>
      </w:r>
      <w:proofErr w:type="spellEnd"/>
      <w:r w:rsidRPr="00994EE7">
        <w:t xml:space="preserve"> y la rotación de tareas constituyen estrategias ergonómicas sencillas, de bajo coste y respaldadas por la evidencia para disminuir la fatiga musculoesquelética y reducir el riesgo de lesiones relacionadas con el trabajo.</w:t>
      </w:r>
    </w:p>
    <w:p w14:paraId="6CA3531A" w14:textId="77777777" w:rsidR="00994EE7" w:rsidRPr="00994EE7" w:rsidRDefault="00994EE7" w:rsidP="00994EE7">
      <w:pPr>
        <w:jc w:val="both"/>
      </w:pPr>
      <w:r w:rsidRPr="00994EE7">
        <w:t>Su aplicación beneficia tanto al personal sanitario como al no sanitario al favorecer la recuperación física, mejorar el confort durante la jornada y contribuir a mantener un adecuado rendimiento laboral.</w:t>
      </w:r>
    </w:p>
    <w:p w14:paraId="50B806BA" w14:textId="77777777" w:rsidR="00994EE7" w:rsidRPr="00994EE7" w:rsidRDefault="00994EE7" w:rsidP="00994EE7">
      <w:pPr>
        <w:jc w:val="both"/>
      </w:pPr>
      <w:r w:rsidRPr="00994EE7">
        <w:t xml:space="preserve">La incorporación de estas medidas dentro de los programas de prevención de riesgos laborales, junto con la evaluación periódica de los puestos de trabajo y la formación en ergonomía, fortalece la cultura preventiva y promueve entornos laborales más seguros y saludables. ([Portal INSST][1]) </w:t>
      </w:r>
      <w:r w:rsidRPr="00994EE7">
        <w:rPr>
          <w:b/>
        </w:rPr>
        <w:t>Bibliografía</w:t>
      </w:r>
    </w:p>
    <w:p w14:paraId="3EE6F832" w14:textId="77777777" w:rsidR="00994EE7" w:rsidRPr="00994EE7" w:rsidRDefault="00994EE7" w:rsidP="00994EE7">
      <w:pPr>
        <w:numPr>
          <w:ilvl w:val="0"/>
          <w:numId w:val="74"/>
        </w:numPr>
        <w:jc w:val="both"/>
      </w:pPr>
      <w:r w:rsidRPr="00994EE7">
        <w:t>Instituto Nacional de Seguridad y Salud en el Trabajo. (2024). *Riesgos ergonómicos en el trabajo*.</w:t>
      </w:r>
    </w:p>
    <w:p w14:paraId="3DCC5BD9" w14:textId="77777777" w:rsidR="00994EE7" w:rsidRPr="00994EE7" w:rsidRDefault="00994EE7" w:rsidP="00994EE7">
      <w:pPr>
        <w:numPr>
          <w:ilvl w:val="0"/>
          <w:numId w:val="74"/>
        </w:numPr>
        <w:jc w:val="both"/>
      </w:pPr>
      <w:r w:rsidRPr="00994EE7">
        <w:t>Agencia Europea para la Seguridad y la Salud en el Trabajo. *Prevención de los trastornos musculoesqueléticos relacionados con el trabajo*.</w:t>
      </w:r>
    </w:p>
    <w:p w14:paraId="63EC6AD2" w14:textId="77777777" w:rsidR="00994EE7" w:rsidRPr="00994EE7" w:rsidRDefault="00994EE7" w:rsidP="00994EE7">
      <w:pPr>
        <w:numPr>
          <w:ilvl w:val="0"/>
          <w:numId w:val="74"/>
        </w:numPr>
        <w:jc w:val="both"/>
        <w:rPr>
          <w:lang w:val="en-GB"/>
        </w:rPr>
      </w:pPr>
      <w:r w:rsidRPr="00994EE7">
        <w:rPr>
          <w:lang w:val="en-GB"/>
        </w:rPr>
        <w:t xml:space="preserve">Organización Internacional del </w:t>
      </w:r>
      <w:proofErr w:type="spellStart"/>
      <w:r w:rsidRPr="00994EE7">
        <w:rPr>
          <w:lang w:val="en-GB"/>
        </w:rPr>
        <w:t>Trabajo</w:t>
      </w:r>
      <w:proofErr w:type="spellEnd"/>
      <w:r w:rsidRPr="00994EE7">
        <w:rPr>
          <w:lang w:val="en-GB"/>
        </w:rPr>
        <w:t>. *Ergonomics Checkpoints: Practical Solutions for Improving Safety, Health and Working Conditions*.</w:t>
      </w:r>
    </w:p>
    <w:p w14:paraId="7FCAF611" w14:textId="77777777" w:rsidR="00994EE7" w:rsidRPr="00994EE7" w:rsidRDefault="00994EE7" w:rsidP="00994EE7">
      <w:pPr>
        <w:numPr>
          <w:ilvl w:val="0"/>
          <w:numId w:val="74"/>
        </w:numPr>
        <w:jc w:val="both"/>
      </w:pPr>
      <w:proofErr w:type="spellStart"/>
      <w:r w:rsidRPr="00994EE7">
        <w:rPr>
          <w:lang w:val="en-GB"/>
        </w:rPr>
        <w:t>Hacay</w:t>
      </w:r>
      <w:proofErr w:type="spellEnd"/>
      <w:r w:rsidRPr="00994EE7">
        <w:rPr>
          <w:lang w:val="en-GB"/>
        </w:rPr>
        <w:t xml:space="preserve"> Chang, A., et al. </w:t>
      </w:r>
      <w:r w:rsidRPr="00994EE7">
        <w:t xml:space="preserve">(2024). *Ergonomía, Trastornos Musculoesqueléticos, Tratamiento y Retorno al Trabajo – Marco Conceptual para programas de intervención*. *Archivos de Prevención de Riesgos Laborales*. </w:t>
      </w:r>
    </w:p>
    <w:p w14:paraId="284EED14" w14:textId="77777777" w:rsidR="00994EE7" w:rsidRPr="00994EE7" w:rsidRDefault="00994EE7" w:rsidP="00994EE7">
      <w:pPr>
        <w:numPr>
          <w:ilvl w:val="0"/>
          <w:numId w:val="74"/>
        </w:numPr>
        <w:jc w:val="both"/>
      </w:pPr>
      <w:r w:rsidRPr="00994EE7">
        <w:rPr>
          <w:lang w:val="en-GB"/>
        </w:rPr>
        <w:t xml:space="preserve">Dul, J., &amp; </w:t>
      </w:r>
      <w:proofErr w:type="spellStart"/>
      <w:r w:rsidRPr="00994EE7">
        <w:rPr>
          <w:lang w:val="en-GB"/>
        </w:rPr>
        <w:t>Weerdmeester</w:t>
      </w:r>
      <w:proofErr w:type="spellEnd"/>
      <w:r w:rsidRPr="00994EE7">
        <w:rPr>
          <w:lang w:val="en-GB"/>
        </w:rPr>
        <w:t xml:space="preserve">, B. (2020). *Ergonomics for Beginners: A Quick Reference Guide*. </w:t>
      </w:r>
      <w:r w:rsidRPr="00994EE7">
        <w:t>CRC Press.</w:t>
      </w:r>
    </w:p>
    <w:p w14:paraId="6DF27417" w14:textId="77777777" w:rsidR="00892BF7" w:rsidRDefault="00892BF7" w:rsidP="000E46B3">
      <w:pPr>
        <w:jc w:val="both"/>
      </w:pPr>
    </w:p>
    <w:p w14:paraId="7D780718" w14:textId="77777777" w:rsidR="00622CF7" w:rsidRPr="00622CF7" w:rsidRDefault="00622CF7" w:rsidP="00622CF7">
      <w:pPr>
        <w:jc w:val="both"/>
      </w:pPr>
      <w:r w:rsidRPr="00622CF7">
        <w:rPr>
          <w:b/>
        </w:rPr>
        <w:lastRenderedPageBreak/>
        <w:t xml:space="preserve">La </w:t>
      </w:r>
      <w:proofErr w:type="gramStart"/>
      <w:r w:rsidRPr="00622CF7">
        <w:rPr>
          <w:b/>
        </w:rPr>
        <w:t>participación activa</w:t>
      </w:r>
      <w:proofErr w:type="gramEnd"/>
      <w:r w:rsidRPr="00622CF7">
        <w:rPr>
          <w:b/>
        </w:rPr>
        <w:t xml:space="preserve"> de los trabajadores como pilar de la prevención de riesgos laborales en el personal sanitario y no sanitario</w:t>
      </w:r>
    </w:p>
    <w:p w14:paraId="00B51803" w14:textId="77777777" w:rsidR="00622CF7" w:rsidRPr="00622CF7" w:rsidRDefault="00622CF7" w:rsidP="00622CF7">
      <w:pPr>
        <w:jc w:val="both"/>
        <w:rPr>
          <w:b/>
        </w:rPr>
      </w:pPr>
      <w:r w:rsidRPr="00622CF7">
        <w:rPr>
          <w:b/>
        </w:rPr>
        <w:t>Introducción</w:t>
      </w:r>
    </w:p>
    <w:p w14:paraId="3E66DAF8" w14:textId="77777777" w:rsidR="00622CF7" w:rsidRPr="00622CF7" w:rsidRDefault="00622CF7" w:rsidP="00622CF7">
      <w:pPr>
        <w:jc w:val="both"/>
      </w:pPr>
      <w:r w:rsidRPr="00622CF7">
        <w:t>La prevención de riesgos laborales ha evolucionado desde un modelo centrado exclusivamente en el cumplimiento normativo hacia un enfoque basado en la mejora continua y la participación de todos los integrantes de la organización. En este contexto, la implicación activa de los trabajadores constituye uno de los factores más eficaces para identificar riesgos, proponer soluciones y consolidar una auténtica cultura preventiva.</w:t>
      </w:r>
    </w:p>
    <w:p w14:paraId="0AEB388F" w14:textId="77777777" w:rsidR="00622CF7" w:rsidRPr="00622CF7" w:rsidRDefault="00622CF7" w:rsidP="00622CF7">
      <w:pPr>
        <w:jc w:val="both"/>
      </w:pPr>
      <w:r w:rsidRPr="00622CF7">
        <w:t>Los centros sanitarios presentan una gran diversidad de riesgos derivados de la asistencia, la manipulación de equipos, la movilización de pacientes, el uso de productos químicos, la exposición a agentes biológicos y la realización de tareas administrativas o logísticas. Debido a esta diversidad, resulta imprescindible que tanto el personal sanitario como el no sanitario participen en la identificación de situaciones de riesgo y en la implantación de medidas preventivas.</w:t>
      </w:r>
    </w:p>
    <w:p w14:paraId="7CE58A6E" w14:textId="77777777" w:rsidR="00622CF7" w:rsidRPr="00622CF7" w:rsidRDefault="00622CF7" w:rsidP="00622CF7">
      <w:pPr>
        <w:jc w:val="both"/>
      </w:pPr>
      <w:r w:rsidRPr="00622CF7">
        <w:t>Diversos estudios han demostrado que las organizaciones que fomentan la participación de sus profesionales presentan menores tasas de accidentes laborales y un mayor compromiso con la seguridad.</w:t>
      </w:r>
    </w:p>
    <w:p w14:paraId="0CFC9EEA" w14:textId="77777777" w:rsidR="00622CF7" w:rsidRPr="00622CF7" w:rsidRDefault="00622CF7" w:rsidP="00622CF7">
      <w:pPr>
        <w:jc w:val="both"/>
        <w:rPr>
          <w:b/>
        </w:rPr>
      </w:pPr>
      <w:r w:rsidRPr="00622CF7">
        <w:rPr>
          <w:b/>
        </w:rPr>
        <w:t>Objetivo</w:t>
      </w:r>
    </w:p>
    <w:p w14:paraId="526941B6" w14:textId="77777777" w:rsidR="00622CF7" w:rsidRPr="00622CF7" w:rsidRDefault="00622CF7" w:rsidP="00622CF7">
      <w:pPr>
        <w:jc w:val="both"/>
      </w:pPr>
      <w:r w:rsidRPr="00622CF7">
        <w:t xml:space="preserve">Analizar la importancia de la </w:t>
      </w:r>
      <w:proofErr w:type="gramStart"/>
      <w:r w:rsidRPr="00622CF7">
        <w:t>participación activa</w:t>
      </w:r>
      <w:proofErr w:type="gramEnd"/>
      <w:r w:rsidRPr="00622CF7">
        <w:t xml:space="preserve"> de los trabajadores en la prevención de riesgos laborales y describir las estrategias que favorecen una cultura preventiva en el personal sanitario y no sanitario.</w:t>
      </w:r>
    </w:p>
    <w:p w14:paraId="2B0AC0A1" w14:textId="77777777" w:rsidR="00622CF7" w:rsidRPr="00622CF7" w:rsidRDefault="00622CF7" w:rsidP="00622CF7">
      <w:pPr>
        <w:jc w:val="both"/>
        <w:rPr>
          <w:b/>
        </w:rPr>
      </w:pPr>
      <w:r w:rsidRPr="00622CF7">
        <w:rPr>
          <w:b/>
        </w:rPr>
        <w:t>Material y método</w:t>
      </w:r>
    </w:p>
    <w:p w14:paraId="568CAE56" w14:textId="77777777" w:rsidR="00622CF7" w:rsidRPr="00622CF7" w:rsidRDefault="00622CF7" w:rsidP="00622CF7">
      <w:pPr>
        <w:jc w:val="both"/>
      </w:pPr>
      <w:r w:rsidRPr="00622CF7">
        <w:t xml:space="preserve">Se realizó una revisión bibliográfica descriptiva mediante la consulta de artículos científicos, documentos técnicos y normativa publicada entre 2017 y 2025. Se revisaron las bases de datos PubMed, </w:t>
      </w:r>
      <w:proofErr w:type="spellStart"/>
      <w:r w:rsidRPr="00622CF7">
        <w:t>Scopus</w:t>
      </w:r>
      <w:proofErr w:type="spellEnd"/>
      <w:r w:rsidRPr="00622CF7">
        <w:t xml:space="preserve"> y Google Scholar, así como publicaciones del Instituto Nacional de Seguridad y Salud en el Trabajo, la Agencia Europea para la Seguridad y la Salud en el Trabajo y la Organización Internacional del Trabajo.</w:t>
      </w:r>
    </w:p>
    <w:p w14:paraId="6E090EE1" w14:textId="77777777" w:rsidR="00622CF7" w:rsidRPr="00622CF7" w:rsidRDefault="00622CF7" w:rsidP="00622CF7">
      <w:pPr>
        <w:jc w:val="both"/>
      </w:pPr>
      <w:r w:rsidRPr="00622CF7">
        <w:t>Se seleccionaron estudios relacionados con cultura preventiva, participación de los trabajadores, liderazgo en seguridad y gestión de riesgos laborales.</w:t>
      </w:r>
    </w:p>
    <w:p w14:paraId="6C8CAE52" w14:textId="77777777" w:rsidR="00622CF7" w:rsidRPr="00622CF7" w:rsidRDefault="00622CF7" w:rsidP="00622CF7">
      <w:pPr>
        <w:jc w:val="both"/>
        <w:rPr>
          <w:b/>
        </w:rPr>
      </w:pPr>
      <w:r w:rsidRPr="00622CF7">
        <w:rPr>
          <w:b/>
        </w:rPr>
        <w:t>Resultados</w:t>
      </w:r>
    </w:p>
    <w:p w14:paraId="6C085EDF" w14:textId="77777777" w:rsidR="00622CF7" w:rsidRPr="00622CF7" w:rsidRDefault="00622CF7" w:rsidP="00622CF7">
      <w:pPr>
        <w:jc w:val="both"/>
      </w:pPr>
      <w:r w:rsidRPr="00622CF7">
        <w:t xml:space="preserve">La evidencia científica muestra que la </w:t>
      </w:r>
      <w:proofErr w:type="gramStart"/>
      <w:r w:rsidRPr="00622CF7">
        <w:t>participación activa</w:t>
      </w:r>
      <w:proofErr w:type="gramEnd"/>
      <w:r w:rsidRPr="00622CF7">
        <w:t xml:space="preserve"> de los trabajadores mejora la identificación de riesgos y favorece la implantación de medidas preventivas adaptadas a la realidad de cada puesto de trabajo.</w:t>
      </w:r>
    </w:p>
    <w:p w14:paraId="182C7E2F" w14:textId="77777777" w:rsidR="00622CF7" w:rsidRPr="00622CF7" w:rsidRDefault="00622CF7" w:rsidP="00622CF7">
      <w:pPr>
        <w:jc w:val="both"/>
      </w:pPr>
      <w:r w:rsidRPr="00622CF7">
        <w:lastRenderedPageBreak/>
        <w:t>En el personal sanitario, la comunicación de incidentes, la colaboración en la elaboración de protocolos y la participación en programas de seguridad permiten reducir la exposición a riesgos biológicos, ergonómicos y psicosociales. En el personal no sanitario, la implicación en la evaluación de riesgos relacionados con la manipulación de cargas, el mantenimiento de instalaciones, la limpieza o la gestión administrativa contribuye a mejorar las condiciones de trabajo.</w:t>
      </w:r>
    </w:p>
    <w:p w14:paraId="7DF19D93" w14:textId="77777777" w:rsidR="00622CF7" w:rsidRPr="00622CF7" w:rsidRDefault="00622CF7" w:rsidP="00622CF7">
      <w:pPr>
        <w:jc w:val="both"/>
      </w:pPr>
      <w:r w:rsidRPr="00622CF7">
        <w:t>Los estudios también destacan que la existencia de canales accesibles para comunicar situaciones peligrosas, sugerencias de mejora o incidentes sin consecuencias incrementa la eficacia de los sistemas preventivos.</w:t>
      </w:r>
    </w:p>
    <w:p w14:paraId="3936FBB3" w14:textId="77777777" w:rsidR="00622CF7" w:rsidRPr="00622CF7" w:rsidRDefault="00622CF7" w:rsidP="00622CF7">
      <w:pPr>
        <w:jc w:val="both"/>
      </w:pPr>
      <w:r w:rsidRPr="00622CF7">
        <w:t>Asimismo, la formación continuada, la realización de reuniones periódicas sobre seguridad y el liderazgo participativo favorecen la creación de un entorno donde la prevención se integra en la actividad diaria y no se limita al cumplimiento de obligaciones legales.</w:t>
      </w:r>
    </w:p>
    <w:p w14:paraId="0D62E011" w14:textId="77777777" w:rsidR="00622CF7" w:rsidRPr="00622CF7" w:rsidRDefault="00622CF7" w:rsidP="00622CF7">
      <w:pPr>
        <w:jc w:val="both"/>
      </w:pPr>
      <w:r w:rsidRPr="00622CF7">
        <w:t>La revisión indica igualmente que las organizaciones con una cultura preventiva sólida presentan una mayor sensibilización frente a los riesgos, una reducción del absentismo y una mejora del bienestar de los trabajadores.</w:t>
      </w:r>
    </w:p>
    <w:p w14:paraId="253A9E14" w14:textId="77777777" w:rsidR="00622CF7" w:rsidRPr="00622CF7" w:rsidRDefault="00622CF7" w:rsidP="00622CF7">
      <w:pPr>
        <w:jc w:val="both"/>
        <w:rPr>
          <w:b/>
        </w:rPr>
      </w:pPr>
      <w:r w:rsidRPr="00622CF7">
        <w:rPr>
          <w:b/>
        </w:rPr>
        <w:t>Conclusiones</w:t>
      </w:r>
    </w:p>
    <w:p w14:paraId="54CF3E0E" w14:textId="77777777" w:rsidR="00622CF7" w:rsidRPr="00622CF7" w:rsidRDefault="00622CF7" w:rsidP="00622CF7">
      <w:pPr>
        <w:jc w:val="both"/>
      </w:pPr>
      <w:r w:rsidRPr="00622CF7">
        <w:t>La prevención de riesgos laborales es una responsabilidad compartida que requiere la implicación de todo el personal sanitario y no sanitario.</w:t>
      </w:r>
    </w:p>
    <w:p w14:paraId="2D8C824B" w14:textId="77777777" w:rsidR="00622CF7" w:rsidRPr="00622CF7" w:rsidRDefault="00622CF7" w:rsidP="00622CF7">
      <w:pPr>
        <w:jc w:val="both"/>
      </w:pPr>
      <w:r w:rsidRPr="00622CF7">
        <w:t xml:space="preserve">La </w:t>
      </w:r>
      <w:proofErr w:type="gramStart"/>
      <w:r w:rsidRPr="00622CF7">
        <w:t>participación activa</w:t>
      </w:r>
      <w:proofErr w:type="gramEnd"/>
      <w:r w:rsidRPr="00622CF7">
        <w:t xml:space="preserve"> de los trabajadores favorece la detección precoz de riesgos, mejora la eficacia de las medidas preventivas y fortalece el compromiso colectivo con la seguridad y la salud laboral.</w:t>
      </w:r>
    </w:p>
    <w:p w14:paraId="026F3D9C" w14:textId="77777777" w:rsidR="00622CF7" w:rsidRPr="00622CF7" w:rsidRDefault="00622CF7" w:rsidP="00622CF7">
      <w:pPr>
        <w:jc w:val="both"/>
      </w:pPr>
      <w:r w:rsidRPr="00622CF7">
        <w:t>Promover espacios de comunicación, formación continua y participación en la toma de decisiones relacionadas con la prevención contribuye a desarrollar organizaciones más seguras, resilientes y orientadas a la mejora continua.</w:t>
      </w:r>
    </w:p>
    <w:p w14:paraId="009B2C4B" w14:textId="77777777" w:rsidR="00622CF7" w:rsidRPr="00622CF7" w:rsidRDefault="00622CF7" w:rsidP="00622CF7">
      <w:pPr>
        <w:jc w:val="both"/>
        <w:rPr>
          <w:b/>
        </w:rPr>
      </w:pPr>
      <w:r w:rsidRPr="00622CF7">
        <w:rPr>
          <w:b/>
        </w:rPr>
        <w:t>Bibliografía</w:t>
      </w:r>
    </w:p>
    <w:p w14:paraId="5BFEE993" w14:textId="77777777" w:rsidR="00622CF7" w:rsidRPr="00622CF7" w:rsidRDefault="00622CF7" w:rsidP="00622CF7">
      <w:pPr>
        <w:numPr>
          <w:ilvl w:val="0"/>
          <w:numId w:val="75"/>
        </w:numPr>
        <w:jc w:val="both"/>
      </w:pPr>
      <w:r w:rsidRPr="00622CF7">
        <w:t>Instituto Nacional de Seguridad y Salud en el Trabajo. (2024). *Gestión preventiva y participación de los trabajadores*.</w:t>
      </w:r>
    </w:p>
    <w:p w14:paraId="5D53A34E" w14:textId="77777777" w:rsidR="00622CF7" w:rsidRPr="00622CF7" w:rsidRDefault="00622CF7" w:rsidP="00622CF7">
      <w:pPr>
        <w:numPr>
          <w:ilvl w:val="0"/>
          <w:numId w:val="75"/>
        </w:numPr>
        <w:jc w:val="both"/>
        <w:rPr>
          <w:lang w:val="en-GB"/>
        </w:rPr>
      </w:pPr>
      <w:r w:rsidRPr="00622CF7">
        <w:t xml:space="preserve">Agencia Europea para la Seguridad y la Salud en el Trabajo. </w:t>
      </w:r>
      <w:r w:rsidRPr="00622CF7">
        <w:rPr>
          <w:lang w:val="en-GB"/>
        </w:rPr>
        <w:t>(2023). *Worker Participation Practices in Occupational Safety and Health*.</w:t>
      </w:r>
    </w:p>
    <w:p w14:paraId="6CACDE8B" w14:textId="77777777" w:rsidR="00622CF7" w:rsidRPr="00622CF7" w:rsidRDefault="00622CF7" w:rsidP="00622CF7">
      <w:pPr>
        <w:numPr>
          <w:ilvl w:val="0"/>
          <w:numId w:val="75"/>
        </w:numPr>
        <w:jc w:val="both"/>
        <w:rPr>
          <w:lang w:val="en-GB"/>
        </w:rPr>
      </w:pPr>
      <w:r w:rsidRPr="00622CF7">
        <w:rPr>
          <w:lang w:val="en-GB"/>
        </w:rPr>
        <w:t xml:space="preserve">Organización Internacional del </w:t>
      </w:r>
      <w:proofErr w:type="spellStart"/>
      <w:r w:rsidRPr="00622CF7">
        <w:rPr>
          <w:lang w:val="en-GB"/>
        </w:rPr>
        <w:t>Trabajo</w:t>
      </w:r>
      <w:proofErr w:type="spellEnd"/>
      <w:r w:rsidRPr="00622CF7">
        <w:rPr>
          <w:lang w:val="en-GB"/>
        </w:rPr>
        <w:t xml:space="preserve">. (2022). *Guidelines on Occupational Safety and Health Management Systems (ILO-OSH </w:t>
      </w:r>
      <w:proofErr w:type="gramStart"/>
      <w:r w:rsidRPr="00622CF7">
        <w:rPr>
          <w:lang w:val="en-GB"/>
        </w:rPr>
        <w:t>2001)*</w:t>
      </w:r>
      <w:proofErr w:type="gramEnd"/>
      <w:r w:rsidRPr="00622CF7">
        <w:rPr>
          <w:lang w:val="en-GB"/>
        </w:rPr>
        <w:t>.</w:t>
      </w:r>
    </w:p>
    <w:p w14:paraId="3EE27A53" w14:textId="77777777" w:rsidR="00622CF7" w:rsidRPr="00622CF7" w:rsidRDefault="00622CF7" w:rsidP="00622CF7">
      <w:pPr>
        <w:numPr>
          <w:ilvl w:val="0"/>
          <w:numId w:val="75"/>
        </w:numPr>
        <w:jc w:val="both"/>
      </w:pPr>
      <w:r w:rsidRPr="00622CF7">
        <w:t>Ministerio de Trabajo y Economía Social. *Ley 31/1995, de 8 de noviembre, de Prevención de Riesgos Laborales*.</w:t>
      </w:r>
    </w:p>
    <w:p w14:paraId="117B9780" w14:textId="77777777" w:rsidR="00622CF7" w:rsidRPr="00622CF7" w:rsidRDefault="00622CF7" w:rsidP="00622CF7">
      <w:pPr>
        <w:numPr>
          <w:ilvl w:val="0"/>
          <w:numId w:val="75"/>
        </w:numPr>
        <w:jc w:val="both"/>
      </w:pPr>
      <w:r w:rsidRPr="00622CF7">
        <w:rPr>
          <w:lang w:val="en-GB"/>
        </w:rPr>
        <w:lastRenderedPageBreak/>
        <w:t xml:space="preserve">Reason, J. (1997). *Managing the Risks of Organizational Accidents*. </w:t>
      </w:r>
      <w:proofErr w:type="spellStart"/>
      <w:r w:rsidRPr="00622CF7">
        <w:t>Ashgate</w:t>
      </w:r>
      <w:proofErr w:type="spellEnd"/>
      <w:r w:rsidRPr="00622CF7">
        <w:t>.</w:t>
      </w:r>
    </w:p>
    <w:p w14:paraId="2EA7E9B6" w14:textId="77777777" w:rsidR="00994EE7" w:rsidRDefault="00994EE7" w:rsidP="000E46B3">
      <w:pPr>
        <w:jc w:val="both"/>
      </w:pPr>
    </w:p>
    <w:p w14:paraId="5D8258FE" w14:textId="77777777" w:rsidR="00622CF7" w:rsidRDefault="00622CF7" w:rsidP="000E46B3">
      <w:pPr>
        <w:jc w:val="both"/>
      </w:pPr>
    </w:p>
    <w:p w14:paraId="5A619B48" w14:textId="77777777" w:rsidR="00622CF7" w:rsidRDefault="00622CF7" w:rsidP="000E46B3">
      <w:pPr>
        <w:jc w:val="both"/>
      </w:pPr>
    </w:p>
    <w:p w14:paraId="235FCC08" w14:textId="77777777" w:rsidR="00622CF7" w:rsidRDefault="00622CF7" w:rsidP="000E46B3">
      <w:pPr>
        <w:jc w:val="both"/>
      </w:pPr>
    </w:p>
    <w:p w14:paraId="343EAE58" w14:textId="77777777" w:rsidR="00622CF7" w:rsidRDefault="00622CF7" w:rsidP="000E46B3">
      <w:pPr>
        <w:jc w:val="both"/>
      </w:pPr>
    </w:p>
    <w:p w14:paraId="6A4E2BCA" w14:textId="77777777" w:rsidR="00622CF7" w:rsidRDefault="00622CF7" w:rsidP="000E46B3">
      <w:pPr>
        <w:jc w:val="both"/>
      </w:pPr>
    </w:p>
    <w:p w14:paraId="25134461" w14:textId="77777777" w:rsidR="00622CF7" w:rsidRDefault="00622CF7" w:rsidP="000E46B3">
      <w:pPr>
        <w:jc w:val="both"/>
      </w:pPr>
    </w:p>
    <w:p w14:paraId="10AB29C2" w14:textId="77777777" w:rsidR="00622CF7" w:rsidRDefault="00622CF7" w:rsidP="000E46B3">
      <w:pPr>
        <w:jc w:val="both"/>
      </w:pPr>
    </w:p>
    <w:p w14:paraId="39328E12" w14:textId="77777777" w:rsidR="00622CF7" w:rsidRDefault="00622CF7" w:rsidP="000E46B3">
      <w:pPr>
        <w:jc w:val="both"/>
      </w:pPr>
    </w:p>
    <w:p w14:paraId="6942153D" w14:textId="77777777" w:rsidR="00622CF7" w:rsidRDefault="00622CF7" w:rsidP="000E46B3">
      <w:pPr>
        <w:jc w:val="both"/>
      </w:pPr>
    </w:p>
    <w:p w14:paraId="53FB5CCD" w14:textId="77777777" w:rsidR="00622CF7" w:rsidRDefault="00622CF7" w:rsidP="000E46B3">
      <w:pPr>
        <w:jc w:val="both"/>
      </w:pPr>
    </w:p>
    <w:p w14:paraId="1C38AE33" w14:textId="77777777" w:rsidR="00622CF7" w:rsidRDefault="00622CF7" w:rsidP="000E46B3">
      <w:pPr>
        <w:jc w:val="both"/>
      </w:pPr>
    </w:p>
    <w:p w14:paraId="49550F96" w14:textId="77777777" w:rsidR="00622CF7" w:rsidRDefault="00622CF7" w:rsidP="000E46B3">
      <w:pPr>
        <w:jc w:val="both"/>
      </w:pPr>
    </w:p>
    <w:p w14:paraId="47DB0730" w14:textId="77777777" w:rsidR="00622CF7" w:rsidRDefault="00622CF7" w:rsidP="000E46B3">
      <w:pPr>
        <w:jc w:val="both"/>
      </w:pPr>
    </w:p>
    <w:p w14:paraId="419E050E" w14:textId="77777777" w:rsidR="00622CF7" w:rsidRDefault="00622CF7" w:rsidP="000E46B3">
      <w:pPr>
        <w:jc w:val="both"/>
      </w:pPr>
    </w:p>
    <w:p w14:paraId="0EFD076A" w14:textId="77777777" w:rsidR="00622CF7" w:rsidRDefault="00622CF7" w:rsidP="000E46B3">
      <w:pPr>
        <w:jc w:val="both"/>
      </w:pPr>
    </w:p>
    <w:p w14:paraId="7F34AD75" w14:textId="77777777" w:rsidR="00622CF7" w:rsidRDefault="00622CF7" w:rsidP="000E46B3">
      <w:pPr>
        <w:jc w:val="both"/>
      </w:pPr>
    </w:p>
    <w:p w14:paraId="51E38CC3" w14:textId="77777777" w:rsidR="00622CF7" w:rsidRDefault="00622CF7" w:rsidP="000E46B3">
      <w:pPr>
        <w:jc w:val="both"/>
      </w:pPr>
    </w:p>
    <w:p w14:paraId="77E3A693" w14:textId="77777777" w:rsidR="00622CF7" w:rsidRDefault="00622CF7" w:rsidP="000E46B3">
      <w:pPr>
        <w:jc w:val="both"/>
      </w:pPr>
    </w:p>
    <w:p w14:paraId="37E804FC" w14:textId="77777777" w:rsidR="00622CF7" w:rsidRDefault="00622CF7" w:rsidP="000E46B3">
      <w:pPr>
        <w:jc w:val="both"/>
      </w:pPr>
    </w:p>
    <w:p w14:paraId="298A700E" w14:textId="77777777" w:rsidR="00622CF7" w:rsidRDefault="00622CF7" w:rsidP="000E46B3">
      <w:pPr>
        <w:jc w:val="both"/>
      </w:pPr>
    </w:p>
    <w:p w14:paraId="088D7F8D" w14:textId="77777777" w:rsidR="00622CF7" w:rsidRDefault="00622CF7" w:rsidP="000E46B3">
      <w:pPr>
        <w:jc w:val="both"/>
      </w:pPr>
    </w:p>
    <w:p w14:paraId="6B4F597D" w14:textId="77777777" w:rsidR="00622CF7" w:rsidRDefault="00622CF7" w:rsidP="000E46B3">
      <w:pPr>
        <w:jc w:val="both"/>
      </w:pPr>
    </w:p>
    <w:p w14:paraId="6777F3E7" w14:textId="77777777" w:rsidR="00622CF7" w:rsidRDefault="00622CF7" w:rsidP="000E46B3">
      <w:pPr>
        <w:jc w:val="both"/>
      </w:pPr>
    </w:p>
    <w:p w14:paraId="21FFAF1F" w14:textId="77777777" w:rsidR="00622CF7" w:rsidRDefault="00622CF7" w:rsidP="000E46B3">
      <w:pPr>
        <w:jc w:val="both"/>
      </w:pPr>
    </w:p>
    <w:p w14:paraId="0D92DFA4" w14:textId="77777777" w:rsidR="00622CF7" w:rsidRDefault="00622CF7" w:rsidP="000E46B3">
      <w:pPr>
        <w:jc w:val="both"/>
      </w:pPr>
    </w:p>
    <w:p w14:paraId="51845961" w14:textId="77777777" w:rsidR="009D3446" w:rsidRPr="009D3446" w:rsidRDefault="009D3446" w:rsidP="009D3446">
      <w:pPr>
        <w:jc w:val="both"/>
      </w:pPr>
      <w:r w:rsidRPr="009D3446">
        <w:rPr>
          <w:b/>
        </w:rPr>
        <w:lastRenderedPageBreak/>
        <w:t>Igualdad de oportunidades en el ámbito laboral: impacto sobre el bienestar del personal sanitario y no sanitario</w:t>
      </w:r>
    </w:p>
    <w:p w14:paraId="5D65BA8C" w14:textId="77777777" w:rsidR="009D3446" w:rsidRPr="009D3446" w:rsidRDefault="009D3446" w:rsidP="009D3446">
      <w:pPr>
        <w:jc w:val="both"/>
        <w:rPr>
          <w:b/>
        </w:rPr>
      </w:pPr>
      <w:r w:rsidRPr="009D3446">
        <w:rPr>
          <w:b/>
        </w:rPr>
        <w:t>Introducción</w:t>
      </w:r>
    </w:p>
    <w:p w14:paraId="22B284AC" w14:textId="77777777" w:rsidR="009D3446" w:rsidRPr="009D3446" w:rsidRDefault="009D3446" w:rsidP="009D3446">
      <w:pPr>
        <w:jc w:val="both"/>
      </w:pPr>
      <w:r w:rsidRPr="009D3446">
        <w:t>La igualdad de oportunidades en el trabajo constituye un principio fundamental de las organizaciones modernas y un requisito para garantizar entornos laborales justos, inclusivos y respetuosos. Este principio implica que todas las personas deben tener las mismas posibilidades de acceso al empleo, promoción profesional, formación y desarrollo, sin discriminación por razón de sexo, edad, origen, discapacidad, orientación sexual, identidad de género, creencias u otras circunstancias personales o sociales.</w:t>
      </w:r>
    </w:p>
    <w:p w14:paraId="35987EF8" w14:textId="77777777" w:rsidR="009D3446" w:rsidRPr="009D3446" w:rsidRDefault="009D3446" w:rsidP="009D3446">
      <w:pPr>
        <w:jc w:val="both"/>
      </w:pPr>
      <w:r w:rsidRPr="009D3446">
        <w:t>En el ámbito sanitario conviven profesionales con perfiles muy diversos que desempeñan funciones complementarias. La existencia de políticas de igualdad favorece la colaboración entre categorías profesionales, mejora el clima laboral y contribuye a ofrecer una atención de mayor calidad a pacientes y usuarios.</w:t>
      </w:r>
    </w:p>
    <w:p w14:paraId="364BCAAF" w14:textId="77777777" w:rsidR="009D3446" w:rsidRPr="009D3446" w:rsidRDefault="009D3446" w:rsidP="009D3446">
      <w:pPr>
        <w:jc w:val="both"/>
      </w:pPr>
      <w:r w:rsidRPr="009D3446">
        <w:t>La evidencia científica señala que las organizaciones que promueven la igualdad y la diversidad obtienen mejores resultados en términos de satisfacción laboral, compromiso profesional, innovación y productividad.</w:t>
      </w:r>
    </w:p>
    <w:p w14:paraId="14AB6635" w14:textId="77777777" w:rsidR="009D3446" w:rsidRPr="009D3446" w:rsidRDefault="009D3446" w:rsidP="009D3446">
      <w:pPr>
        <w:jc w:val="both"/>
        <w:rPr>
          <w:b/>
        </w:rPr>
      </w:pPr>
      <w:r w:rsidRPr="009D3446">
        <w:rPr>
          <w:b/>
        </w:rPr>
        <w:t>Objetivo</w:t>
      </w:r>
    </w:p>
    <w:p w14:paraId="0E7CAF70" w14:textId="77777777" w:rsidR="009D3446" w:rsidRPr="009D3446" w:rsidRDefault="009D3446" w:rsidP="009D3446">
      <w:pPr>
        <w:jc w:val="both"/>
      </w:pPr>
      <w:r w:rsidRPr="009D3446">
        <w:t>Analizar la importancia de la igualdad de oportunidades en el entorno laboral y describir sus beneficios para el personal sanitario y no sanitario y para el funcionamiento de las organizaciones.</w:t>
      </w:r>
    </w:p>
    <w:p w14:paraId="6063074B" w14:textId="77777777" w:rsidR="009D3446" w:rsidRPr="009D3446" w:rsidRDefault="009D3446" w:rsidP="009D3446">
      <w:pPr>
        <w:jc w:val="both"/>
        <w:rPr>
          <w:b/>
        </w:rPr>
      </w:pPr>
      <w:r w:rsidRPr="009D3446">
        <w:rPr>
          <w:b/>
        </w:rPr>
        <w:t>Material y método</w:t>
      </w:r>
    </w:p>
    <w:p w14:paraId="521BBD82" w14:textId="77777777" w:rsidR="009D3446" w:rsidRPr="009D3446" w:rsidRDefault="009D3446" w:rsidP="009D3446">
      <w:pPr>
        <w:jc w:val="both"/>
      </w:pPr>
      <w:r w:rsidRPr="009D3446">
        <w:t xml:space="preserve">Se realizó una revisión bibliográfica descriptiva mediante la consulta de artículos científicos, revisiones sistemáticas, normativa y documentos técnicos publicados entre 2016 y 2025. Se revisaron las bases de datos PubMed, </w:t>
      </w:r>
      <w:proofErr w:type="spellStart"/>
      <w:r w:rsidRPr="009D3446">
        <w:t>Scopus</w:t>
      </w:r>
      <w:proofErr w:type="spellEnd"/>
      <w:r w:rsidRPr="009D3446">
        <w:t xml:space="preserve"> y Google Scholar, además de publicaciones de organismos nacionales e internacionales relacionadas con igualdad, diversidad e inclusión en el ámbito laboral.</w:t>
      </w:r>
    </w:p>
    <w:p w14:paraId="0D420856" w14:textId="77777777" w:rsidR="009D3446" w:rsidRPr="009D3446" w:rsidRDefault="009D3446" w:rsidP="009D3446">
      <w:pPr>
        <w:jc w:val="both"/>
      </w:pPr>
      <w:r w:rsidRPr="009D3446">
        <w:t>Se seleccionaron estudios que evaluaban la relación entre igualdad de oportunidades, bienestar laboral, clima organizacional y rendimiento de los equipos.</w:t>
      </w:r>
    </w:p>
    <w:p w14:paraId="39467221" w14:textId="77777777" w:rsidR="009D3446" w:rsidRPr="009D3446" w:rsidRDefault="009D3446" w:rsidP="009D3446">
      <w:pPr>
        <w:jc w:val="both"/>
        <w:rPr>
          <w:b/>
        </w:rPr>
      </w:pPr>
      <w:r w:rsidRPr="009D3446">
        <w:rPr>
          <w:b/>
        </w:rPr>
        <w:t>Resultados</w:t>
      </w:r>
    </w:p>
    <w:p w14:paraId="5E95403E" w14:textId="77777777" w:rsidR="009D3446" w:rsidRPr="009D3446" w:rsidRDefault="009D3446" w:rsidP="009D3446">
      <w:pPr>
        <w:jc w:val="both"/>
      </w:pPr>
      <w:r w:rsidRPr="009D3446">
        <w:t>La literatura científica demuestra que la implantación de políticas de igualdad favorece la motivación de los trabajadores, mejora el compromiso con la organización y reduce la percepción de discriminación y conflicto laboral.</w:t>
      </w:r>
    </w:p>
    <w:p w14:paraId="1ECE65B7" w14:textId="77777777" w:rsidR="009D3446" w:rsidRPr="009D3446" w:rsidRDefault="009D3446" w:rsidP="009D3446">
      <w:pPr>
        <w:jc w:val="both"/>
      </w:pPr>
      <w:r w:rsidRPr="009D3446">
        <w:lastRenderedPageBreak/>
        <w:t>En el personal sanitario, la igualdad de oportunidades facilita el acceso equitativo a la formación continuada, la promoción profesional y la participación en proyectos asistenciales y de investigación. En el personal no sanitario, garantiza procesos objetivos de selección, desarrollo profesional y evaluación del desempeño, favoreciendo un entorno de trabajo más transparente.</w:t>
      </w:r>
    </w:p>
    <w:p w14:paraId="6F20D320" w14:textId="77777777" w:rsidR="009D3446" w:rsidRPr="009D3446" w:rsidRDefault="009D3446" w:rsidP="009D3446">
      <w:pPr>
        <w:jc w:val="both"/>
      </w:pPr>
      <w:r w:rsidRPr="009D3446">
        <w:t>Los estudios también indican que los equipos diversos, cuando trabajan en un entorno inclusivo, muestran una mayor capacidad para resolver problemas, generar soluciones innovadoras y adaptarse a los cambios organizativos.</w:t>
      </w:r>
    </w:p>
    <w:p w14:paraId="595074ED" w14:textId="77777777" w:rsidR="009D3446" w:rsidRPr="009D3446" w:rsidRDefault="009D3446" w:rsidP="009D3446">
      <w:pPr>
        <w:jc w:val="both"/>
      </w:pPr>
      <w:r w:rsidRPr="009D3446">
        <w:t>Asimismo, la implantación de protocolos frente a la discriminación, la formación en igualdad y el desarrollo de procesos de selección y promoción basados en criterios objetivos contribuyen a fortalecer la confianza entre los profesionales y a consolidar una cultura organizativa respetuosa.</w:t>
      </w:r>
    </w:p>
    <w:p w14:paraId="7EA27D23" w14:textId="77777777" w:rsidR="009D3446" w:rsidRPr="009D3446" w:rsidRDefault="009D3446" w:rsidP="009D3446">
      <w:pPr>
        <w:jc w:val="both"/>
      </w:pPr>
      <w:r w:rsidRPr="009D3446">
        <w:t xml:space="preserve">La revisión destaca que el liderazgo comprometido con la igualdad y la </w:t>
      </w:r>
      <w:proofErr w:type="gramStart"/>
      <w:r w:rsidRPr="009D3446">
        <w:t>participación activa</w:t>
      </w:r>
      <w:proofErr w:type="gramEnd"/>
      <w:r w:rsidRPr="009D3446">
        <w:t xml:space="preserve"> de los trabajadores son factores determinantes para el éxito de las políticas de inclusión.</w:t>
      </w:r>
    </w:p>
    <w:p w14:paraId="3AA7AE23" w14:textId="77777777" w:rsidR="009D3446" w:rsidRPr="009D3446" w:rsidRDefault="009D3446" w:rsidP="009D3446">
      <w:pPr>
        <w:jc w:val="both"/>
        <w:rPr>
          <w:b/>
        </w:rPr>
      </w:pPr>
      <w:r w:rsidRPr="009D3446">
        <w:rPr>
          <w:b/>
        </w:rPr>
        <w:t>Conclusiones</w:t>
      </w:r>
    </w:p>
    <w:p w14:paraId="4DD04975" w14:textId="77777777" w:rsidR="009D3446" w:rsidRPr="009D3446" w:rsidRDefault="009D3446" w:rsidP="009D3446">
      <w:pPr>
        <w:jc w:val="both"/>
      </w:pPr>
      <w:r w:rsidRPr="009D3446">
        <w:t>La igualdad de oportunidades constituye un elemento esencial para el bienestar del personal sanitario y no sanitario y para el adecuado funcionamiento de las organizaciones.</w:t>
      </w:r>
    </w:p>
    <w:p w14:paraId="4A9EF80D" w14:textId="77777777" w:rsidR="009D3446" w:rsidRPr="009D3446" w:rsidRDefault="009D3446" w:rsidP="009D3446">
      <w:pPr>
        <w:jc w:val="both"/>
      </w:pPr>
      <w:r w:rsidRPr="009D3446">
        <w:t>Promover entornos laborales libres de discriminación, con procesos transparentes y acceso equitativo al desarrollo profesional, favorece la motivación, la cohesión de los equipos y la calidad de los servicios.</w:t>
      </w:r>
    </w:p>
    <w:p w14:paraId="4F9EEFCD" w14:textId="77777777" w:rsidR="009D3446" w:rsidRPr="009D3446" w:rsidRDefault="009D3446" w:rsidP="009D3446">
      <w:pPr>
        <w:jc w:val="both"/>
      </w:pPr>
      <w:r w:rsidRPr="009D3446">
        <w:t xml:space="preserve">Las organizaciones que integran la igualdad como un valor estratégico fortalecen su cultura institucional, mejoran el clima laboral y contribuyen a una atención más segura, respetuosa y centrada en las personas. </w:t>
      </w:r>
      <w:r w:rsidRPr="009D3446">
        <w:rPr>
          <w:b/>
        </w:rPr>
        <w:t>Bibliografía</w:t>
      </w:r>
    </w:p>
    <w:p w14:paraId="1F626696" w14:textId="77777777" w:rsidR="009D3446" w:rsidRPr="009D3446" w:rsidRDefault="009D3446" w:rsidP="009D3446">
      <w:pPr>
        <w:numPr>
          <w:ilvl w:val="0"/>
          <w:numId w:val="76"/>
        </w:numPr>
        <w:jc w:val="both"/>
        <w:rPr>
          <w:lang w:val="en-GB"/>
        </w:rPr>
      </w:pPr>
      <w:r w:rsidRPr="009D3446">
        <w:rPr>
          <w:lang w:val="en-GB"/>
        </w:rPr>
        <w:t xml:space="preserve">Organización Internacional del </w:t>
      </w:r>
      <w:proofErr w:type="spellStart"/>
      <w:r w:rsidRPr="009D3446">
        <w:rPr>
          <w:lang w:val="en-GB"/>
        </w:rPr>
        <w:t>Trabajo</w:t>
      </w:r>
      <w:proofErr w:type="spellEnd"/>
      <w:r w:rsidRPr="009D3446">
        <w:rPr>
          <w:lang w:val="en-GB"/>
        </w:rPr>
        <w:t>. (2022). *Inclusion and Diversity in the World of Work*.</w:t>
      </w:r>
    </w:p>
    <w:p w14:paraId="1D065D8A" w14:textId="77777777" w:rsidR="009D3446" w:rsidRPr="009D3446" w:rsidRDefault="009D3446" w:rsidP="009D3446">
      <w:pPr>
        <w:numPr>
          <w:ilvl w:val="0"/>
          <w:numId w:val="76"/>
        </w:numPr>
        <w:jc w:val="both"/>
        <w:rPr>
          <w:lang w:val="en-GB"/>
        </w:rPr>
      </w:pPr>
      <w:r w:rsidRPr="009D3446">
        <w:t xml:space="preserve">Organización Mundial de la Salud. </w:t>
      </w:r>
      <w:r w:rsidRPr="009D3446">
        <w:rPr>
          <w:lang w:val="en-GB"/>
        </w:rPr>
        <w:t>(2023). *Gender Equality and Health Workforce*.</w:t>
      </w:r>
    </w:p>
    <w:p w14:paraId="183F30D5" w14:textId="77777777" w:rsidR="009D3446" w:rsidRPr="009D3446" w:rsidRDefault="009D3446" w:rsidP="009D3446">
      <w:pPr>
        <w:numPr>
          <w:ilvl w:val="0"/>
          <w:numId w:val="76"/>
        </w:numPr>
        <w:jc w:val="both"/>
      </w:pPr>
      <w:r w:rsidRPr="009D3446">
        <w:t>Ministerio de Igualdad. *Ley Orgánica 3/2007, para la igualdad efectiva de mujeres y hombres</w:t>
      </w:r>
      <w:proofErr w:type="gramStart"/>
      <w:r w:rsidRPr="009D3446">
        <w:t>*.*</w:t>
      </w:r>
      <w:proofErr w:type="gramEnd"/>
      <w:r w:rsidRPr="009D3446">
        <w:t xml:space="preserve"> Agencia de los Derechos Fundamentales de la Unión Europea. (2024). *</w:t>
      </w:r>
      <w:proofErr w:type="spellStart"/>
      <w:r w:rsidRPr="009D3446">
        <w:t>Equality</w:t>
      </w:r>
      <w:proofErr w:type="spellEnd"/>
      <w:r w:rsidRPr="009D3446">
        <w:t xml:space="preserve">, </w:t>
      </w:r>
      <w:proofErr w:type="spellStart"/>
      <w:r w:rsidRPr="009D3446">
        <w:t>Nondiscrimination</w:t>
      </w:r>
      <w:proofErr w:type="spellEnd"/>
      <w:r w:rsidRPr="009D3446">
        <w:t xml:space="preserve"> and </w:t>
      </w:r>
      <w:proofErr w:type="spellStart"/>
      <w:r w:rsidRPr="009D3446">
        <w:t>Inclusion</w:t>
      </w:r>
      <w:proofErr w:type="spellEnd"/>
      <w:r w:rsidRPr="009D3446">
        <w:t xml:space="preserve"> in </w:t>
      </w:r>
      <w:proofErr w:type="spellStart"/>
      <w:r w:rsidRPr="009D3446">
        <w:t>the</w:t>
      </w:r>
      <w:proofErr w:type="spellEnd"/>
      <w:r w:rsidRPr="009D3446">
        <w:t xml:space="preserve"> </w:t>
      </w:r>
      <w:proofErr w:type="spellStart"/>
      <w:r w:rsidRPr="009D3446">
        <w:t>Workplace</w:t>
      </w:r>
      <w:proofErr w:type="spellEnd"/>
      <w:r w:rsidRPr="009D3446">
        <w:t>*.</w:t>
      </w:r>
    </w:p>
    <w:p w14:paraId="4B41099C" w14:textId="77777777" w:rsidR="009D3446" w:rsidRPr="009D3446" w:rsidRDefault="009D3446" w:rsidP="009D3446">
      <w:pPr>
        <w:numPr>
          <w:ilvl w:val="0"/>
          <w:numId w:val="76"/>
        </w:numPr>
        <w:jc w:val="both"/>
        <w:rPr>
          <w:lang w:val="en-GB"/>
        </w:rPr>
      </w:pPr>
      <w:r w:rsidRPr="009D3446">
        <w:rPr>
          <w:lang w:val="en-GB"/>
        </w:rPr>
        <w:t xml:space="preserve">Shore, L. M., Cleveland, J. N., &amp; Sanchez, D. (2018). Inclusive workplaces: A review and model. </w:t>
      </w:r>
    </w:p>
    <w:p w14:paraId="191A8249" w14:textId="77777777" w:rsidR="009D3446" w:rsidRPr="009D3446" w:rsidRDefault="009D3446" w:rsidP="009D3446">
      <w:pPr>
        <w:jc w:val="both"/>
      </w:pPr>
      <w:r w:rsidRPr="009D3446">
        <w:t xml:space="preserve">*Human </w:t>
      </w:r>
      <w:proofErr w:type="spellStart"/>
      <w:r w:rsidRPr="009D3446">
        <w:t>Resource</w:t>
      </w:r>
      <w:proofErr w:type="spellEnd"/>
      <w:r w:rsidRPr="009D3446">
        <w:t xml:space="preserve"> Management </w:t>
      </w:r>
      <w:proofErr w:type="spellStart"/>
      <w:r w:rsidRPr="009D3446">
        <w:t>Review</w:t>
      </w:r>
      <w:proofErr w:type="spellEnd"/>
      <w:r w:rsidRPr="009D3446">
        <w:t>*, 28(2), 176–189.</w:t>
      </w:r>
    </w:p>
    <w:p w14:paraId="4847BF60" w14:textId="77777777" w:rsidR="00631844" w:rsidRPr="00631844" w:rsidRDefault="00631844" w:rsidP="00631844">
      <w:pPr>
        <w:jc w:val="both"/>
      </w:pPr>
      <w:r w:rsidRPr="00631844">
        <w:rPr>
          <w:b/>
        </w:rPr>
        <w:lastRenderedPageBreak/>
        <w:t>Mindfulness y atención plena: una estrategia para mejorar la concentración y la seguridad en el personal sanitario y no sanitario</w:t>
      </w:r>
    </w:p>
    <w:p w14:paraId="03859FA5" w14:textId="77777777" w:rsidR="00631844" w:rsidRPr="00631844" w:rsidRDefault="00631844" w:rsidP="00631844">
      <w:pPr>
        <w:jc w:val="both"/>
        <w:rPr>
          <w:b/>
        </w:rPr>
      </w:pPr>
      <w:r w:rsidRPr="00631844">
        <w:rPr>
          <w:b/>
        </w:rPr>
        <w:t>Introducción</w:t>
      </w:r>
    </w:p>
    <w:p w14:paraId="384A2148" w14:textId="77777777" w:rsidR="00631844" w:rsidRPr="00631844" w:rsidRDefault="00631844" w:rsidP="00631844">
      <w:pPr>
        <w:jc w:val="both"/>
      </w:pPr>
      <w:r w:rsidRPr="00631844">
        <w:t>Los entornos de trabajo actuales se caracterizan por un elevado ritmo de actividad, la necesidad de realizar múltiples tareas de forma simultánea y la exposición continua a interrupciones. Estas circunstancias pueden disminuir la capacidad de concentración, favorecer los errores y aumentar la fatiga mental, especialmente en organizaciones sanitarias donde la precisión y la coordinación son esenciales.</w:t>
      </w:r>
    </w:p>
    <w:p w14:paraId="0EEBA4AC" w14:textId="77777777" w:rsidR="00631844" w:rsidRPr="00631844" w:rsidRDefault="00631844" w:rsidP="00631844">
      <w:pPr>
        <w:jc w:val="both"/>
      </w:pPr>
      <w:r w:rsidRPr="00631844">
        <w:t>El mindfulness o atención plena consiste en dirigir la atención de manera consciente al momento presente, observando pensamientos, emociones y sensaciones sin emitir juicios. Su práctica no pretende eliminar el estrés o las dificultades cotidianas, sino mejorar la capacidad para responder de forma más consciente y eficaz a las demandas del entorno laboral.</w:t>
      </w:r>
    </w:p>
    <w:p w14:paraId="011901FA" w14:textId="77777777" w:rsidR="00631844" w:rsidRPr="00631844" w:rsidRDefault="00631844" w:rsidP="00631844">
      <w:pPr>
        <w:jc w:val="both"/>
      </w:pPr>
      <w:r w:rsidRPr="00631844">
        <w:t>Tanto el personal sanitario como el no sanitario pueden beneficiarse del desarrollo de esta habilidad, ya que favorece una mayor atención durante la realización de las tareas, mejora la regulación emocional y facilita la toma de decisiones en situaciones de presión.</w:t>
      </w:r>
    </w:p>
    <w:p w14:paraId="376D7CBB" w14:textId="77777777" w:rsidR="00631844" w:rsidRPr="00631844" w:rsidRDefault="00631844" w:rsidP="00631844">
      <w:pPr>
        <w:jc w:val="both"/>
        <w:rPr>
          <w:b/>
        </w:rPr>
      </w:pPr>
      <w:r w:rsidRPr="00631844">
        <w:rPr>
          <w:b/>
        </w:rPr>
        <w:t>Objetivo</w:t>
      </w:r>
    </w:p>
    <w:p w14:paraId="7E56F284" w14:textId="77777777" w:rsidR="00631844" w:rsidRPr="00631844" w:rsidRDefault="00631844" w:rsidP="00631844">
      <w:pPr>
        <w:jc w:val="both"/>
      </w:pPr>
      <w:r w:rsidRPr="00631844">
        <w:t>Analizar la utilidad del mindfulness como herramienta para mejorar la concentración, disminuir los errores relacionados con la distracción y favorecer el bienestar del personal sanitario y no sanitario.</w:t>
      </w:r>
    </w:p>
    <w:p w14:paraId="68A29C6D" w14:textId="77777777" w:rsidR="00631844" w:rsidRPr="00631844" w:rsidRDefault="00631844" w:rsidP="00631844">
      <w:pPr>
        <w:jc w:val="both"/>
        <w:rPr>
          <w:b/>
        </w:rPr>
      </w:pPr>
      <w:r w:rsidRPr="00631844">
        <w:rPr>
          <w:b/>
        </w:rPr>
        <w:t>Material y método</w:t>
      </w:r>
    </w:p>
    <w:p w14:paraId="4157DFC8" w14:textId="77777777" w:rsidR="00631844" w:rsidRPr="00631844" w:rsidRDefault="00631844" w:rsidP="00631844">
      <w:pPr>
        <w:jc w:val="both"/>
      </w:pPr>
      <w:r w:rsidRPr="00631844">
        <w:t xml:space="preserve">Se realizó una revisión bibliográfica descriptiva mediante la consulta de revisiones sistemáticas, metaanálisis y estudios experimentales publicados entre 2016 y 2025. Se revisaron las bases de datos PubMed, </w:t>
      </w:r>
      <w:proofErr w:type="spellStart"/>
      <w:r w:rsidRPr="00631844">
        <w:t>Scopus</w:t>
      </w:r>
      <w:proofErr w:type="spellEnd"/>
      <w:r w:rsidRPr="00631844">
        <w:t xml:space="preserve"> y Google Scholar, además de publicaciones sobre salud laboral, psicología organizacional y promoción del bienestar en el trabajo.</w:t>
      </w:r>
    </w:p>
    <w:p w14:paraId="6330E1DB" w14:textId="77777777" w:rsidR="00631844" w:rsidRPr="00631844" w:rsidRDefault="00631844" w:rsidP="00631844">
      <w:pPr>
        <w:jc w:val="both"/>
      </w:pPr>
      <w:r w:rsidRPr="00631844">
        <w:t>Se seleccionaron investigaciones que analizaban la relación entre mindfulness, atención sostenida, rendimiento laboral y bienestar psicológico.</w:t>
      </w:r>
    </w:p>
    <w:p w14:paraId="65558578" w14:textId="77777777" w:rsidR="00631844" w:rsidRPr="00631844" w:rsidRDefault="00631844" w:rsidP="00631844">
      <w:pPr>
        <w:jc w:val="both"/>
        <w:rPr>
          <w:b/>
        </w:rPr>
      </w:pPr>
      <w:r w:rsidRPr="00631844">
        <w:rPr>
          <w:b/>
        </w:rPr>
        <w:t>Resultados</w:t>
      </w:r>
    </w:p>
    <w:p w14:paraId="1CEE308D" w14:textId="77777777" w:rsidR="00631844" w:rsidRPr="00631844" w:rsidRDefault="00631844" w:rsidP="00631844">
      <w:pPr>
        <w:jc w:val="both"/>
      </w:pPr>
      <w:r w:rsidRPr="00631844">
        <w:t xml:space="preserve">La evidencia científica indica que los programas de mindfulness producen mejoras en la atención sostenida, la autorregulación emocional y la percepción de bienestar, además de reducir los niveles de estrés y agotamiento en numerosos entornos laborales. Los beneficios suelen observarse principalmente a corto plazo y son mayores cuando la práctica se realiza de forma continuada. </w:t>
      </w:r>
    </w:p>
    <w:p w14:paraId="78C95089" w14:textId="77777777" w:rsidR="00631844" w:rsidRPr="00631844" w:rsidRDefault="00631844" w:rsidP="00631844">
      <w:pPr>
        <w:jc w:val="both"/>
      </w:pPr>
      <w:r w:rsidRPr="00631844">
        <w:lastRenderedPageBreak/>
        <w:t>En el personal sanitario, una mayor capacidad de concentración favorece el seguimiento de protocolos, la correcta identificación de pacientes, la administración segura de tratamientos y la comunicación eficaz dentro del equipo asistencial.</w:t>
      </w:r>
    </w:p>
    <w:p w14:paraId="5E238444" w14:textId="77777777" w:rsidR="00631844" w:rsidRPr="00631844" w:rsidRDefault="00631844" w:rsidP="00631844">
      <w:pPr>
        <w:jc w:val="both"/>
      </w:pPr>
      <w:r w:rsidRPr="00631844">
        <w:t>En el personal no sanitario, la atención plena contribuye a disminuir los errores administrativos, mejorar la organización de las tareas, aumentar la calidad de la atención al usuario y facilitar la gestión de situaciones de elevada carga de trabajo.</w:t>
      </w:r>
    </w:p>
    <w:p w14:paraId="1395FF25" w14:textId="77777777" w:rsidR="00631844" w:rsidRPr="00631844" w:rsidRDefault="00631844" w:rsidP="00631844">
      <w:pPr>
        <w:jc w:val="both"/>
      </w:pPr>
      <w:r w:rsidRPr="00631844">
        <w:t>La literatura también señala que ejercicios breves de respiración consciente, pausas de atención plena antes de tareas complejas y momentos de desconexión planificados pueden mejorar la capacidad para mantener el foco y reducir la fatiga mental. Sin embargo, los estudios coinciden en que estas intervenciones deben acompañarse de medidas organizativas adecuadas, como una distribución razonable de la carga de trabajo y un entorno laboral saludable. ([PMC][2])</w:t>
      </w:r>
    </w:p>
    <w:p w14:paraId="7C69EB21" w14:textId="77777777" w:rsidR="00631844" w:rsidRPr="00631844" w:rsidRDefault="00631844" w:rsidP="00631844">
      <w:pPr>
        <w:jc w:val="both"/>
        <w:rPr>
          <w:b/>
        </w:rPr>
      </w:pPr>
      <w:r w:rsidRPr="00631844">
        <w:rPr>
          <w:b/>
        </w:rPr>
        <w:t>Conclusiones</w:t>
      </w:r>
    </w:p>
    <w:p w14:paraId="066E5624" w14:textId="77777777" w:rsidR="00631844" w:rsidRPr="00631844" w:rsidRDefault="00631844" w:rsidP="00631844">
      <w:pPr>
        <w:jc w:val="both"/>
      </w:pPr>
      <w:r w:rsidRPr="00631844">
        <w:t>El mindfulness constituye una herramienta útil para favorecer la concentración, mejorar la regulación emocional y promover el bienestar del personal sanitario y no sanitario cuando se integra dentro de una estrategia global de promoción de la salud laboral.</w:t>
      </w:r>
    </w:p>
    <w:p w14:paraId="51EB4E03" w14:textId="77777777" w:rsidR="00631844" w:rsidRPr="00631844" w:rsidRDefault="00631844" w:rsidP="00631844">
      <w:pPr>
        <w:jc w:val="both"/>
      </w:pPr>
      <w:r w:rsidRPr="00631844">
        <w:t>Su práctica regular puede contribuir a disminuir las distracciones, mejorar la calidad del trabajo y fortalecer la capacidad de afrontar situaciones de presión, siempre como complemento de unas adecuadas condiciones organizativas y de prevención de riesgos psicosociales.</w:t>
      </w:r>
    </w:p>
    <w:p w14:paraId="4B1CA600" w14:textId="77777777" w:rsidR="00631844" w:rsidRPr="00631844" w:rsidRDefault="00631844" w:rsidP="00631844">
      <w:pPr>
        <w:jc w:val="both"/>
      </w:pPr>
      <w:r w:rsidRPr="00631844">
        <w:t>Las organizaciones que promueven hábitos saludables, formación en competencias emocionales y entornos de trabajo seguros favorecen un mayor bienestar de sus profesionales y una mejora en la calidad de los servicios prestados.</w:t>
      </w:r>
    </w:p>
    <w:p w14:paraId="251930D5" w14:textId="77777777" w:rsidR="00631844" w:rsidRPr="00631844" w:rsidRDefault="00631844" w:rsidP="00631844">
      <w:pPr>
        <w:jc w:val="both"/>
        <w:rPr>
          <w:b/>
        </w:rPr>
      </w:pPr>
      <w:r w:rsidRPr="00631844">
        <w:rPr>
          <w:b/>
        </w:rPr>
        <w:t>Bibliografía</w:t>
      </w:r>
    </w:p>
    <w:p w14:paraId="52732542" w14:textId="77777777" w:rsidR="00631844" w:rsidRPr="00631844" w:rsidRDefault="00631844" w:rsidP="00631844">
      <w:pPr>
        <w:numPr>
          <w:ilvl w:val="0"/>
          <w:numId w:val="77"/>
        </w:numPr>
        <w:jc w:val="both"/>
      </w:pPr>
      <w:r w:rsidRPr="00226AFD">
        <w:rPr>
          <w:lang w:val="en-GB"/>
        </w:rPr>
        <w:t xml:space="preserve">Ong, N. Y., et al. (2024). </w:t>
      </w:r>
      <w:r w:rsidRPr="00631844">
        <w:rPr>
          <w:lang w:val="en-GB"/>
        </w:rPr>
        <w:t xml:space="preserve">*Effectiveness of mindfulness-based interventions on the well-being of healthcare workers: A systematic review and meta-analysis*. *General Psychiatry*. ([PubMed][1]) * Lomas, T., et al. (2017). *The impact of mindfulness on well-being and performance in the workplace: An inclusive systematic review*. </w:t>
      </w:r>
      <w:r w:rsidRPr="00631844">
        <w:t>*</w:t>
      </w:r>
      <w:proofErr w:type="spellStart"/>
      <w:r w:rsidRPr="00631844">
        <w:t>European</w:t>
      </w:r>
      <w:proofErr w:type="spellEnd"/>
      <w:r w:rsidRPr="00631844">
        <w:t xml:space="preserve"> </w:t>
      </w:r>
      <w:proofErr w:type="spellStart"/>
      <w:r w:rsidRPr="00631844">
        <w:t>Journal</w:t>
      </w:r>
      <w:proofErr w:type="spellEnd"/>
      <w:r w:rsidRPr="00631844">
        <w:t xml:space="preserve"> </w:t>
      </w:r>
      <w:proofErr w:type="spellStart"/>
      <w:r w:rsidRPr="00631844">
        <w:t>of</w:t>
      </w:r>
      <w:proofErr w:type="spellEnd"/>
      <w:r w:rsidRPr="00631844">
        <w:t xml:space="preserve"> Work and </w:t>
      </w:r>
      <w:proofErr w:type="spellStart"/>
      <w:r w:rsidRPr="00631844">
        <w:t>Organizational</w:t>
      </w:r>
      <w:proofErr w:type="spellEnd"/>
      <w:r w:rsidRPr="00631844">
        <w:t xml:space="preserve"> </w:t>
      </w:r>
    </w:p>
    <w:p w14:paraId="26693290" w14:textId="77777777" w:rsidR="00631844" w:rsidRPr="00631844" w:rsidRDefault="00631844" w:rsidP="00631844">
      <w:pPr>
        <w:jc w:val="both"/>
      </w:pPr>
      <w:proofErr w:type="spellStart"/>
      <w:r w:rsidRPr="00631844">
        <w:t>Psychology</w:t>
      </w:r>
      <w:proofErr w:type="spellEnd"/>
      <w:r w:rsidRPr="00631844">
        <w:t>*. ([</w:t>
      </w:r>
      <w:proofErr w:type="spellStart"/>
      <w:r w:rsidRPr="00631844">
        <w:t>Dipòsit</w:t>
      </w:r>
      <w:proofErr w:type="spellEnd"/>
      <w:r w:rsidRPr="00631844">
        <w:t xml:space="preserve"> Digital UB][3])</w:t>
      </w:r>
    </w:p>
    <w:p w14:paraId="2CC59322" w14:textId="77777777" w:rsidR="00631844" w:rsidRPr="00631844" w:rsidRDefault="00631844" w:rsidP="00631844">
      <w:pPr>
        <w:numPr>
          <w:ilvl w:val="0"/>
          <w:numId w:val="77"/>
        </w:numPr>
        <w:jc w:val="both"/>
      </w:pPr>
      <w:r w:rsidRPr="00631844">
        <w:rPr>
          <w:lang w:val="en-GB"/>
        </w:rPr>
        <w:t xml:space="preserve">Bartlett, L., et al. (2021). *Mindfulness-based programmes to reduce stress and enhance well-being at work: A realist review*. </w:t>
      </w:r>
      <w:r w:rsidRPr="00631844">
        <w:t>*BMJ Open*. ([PMC][2])</w:t>
      </w:r>
    </w:p>
    <w:p w14:paraId="32AA4A81" w14:textId="77777777" w:rsidR="00631844" w:rsidRPr="00631844" w:rsidRDefault="00631844" w:rsidP="00631844">
      <w:pPr>
        <w:numPr>
          <w:ilvl w:val="0"/>
          <w:numId w:val="77"/>
        </w:numPr>
        <w:jc w:val="both"/>
      </w:pPr>
      <w:r w:rsidRPr="00226AFD">
        <w:rPr>
          <w:lang w:val="en-GB"/>
        </w:rPr>
        <w:lastRenderedPageBreak/>
        <w:t xml:space="preserve">Vonderlin, R., et al. (2020). </w:t>
      </w:r>
      <w:r w:rsidRPr="00631844">
        <w:rPr>
          <w:lang w:val="en-GB"/>
        </w:rPr>
        <w:t xml:space="preserve">*Mindfulness-Based Programs in the Workplace: A Meta-Analysis of Randomized Controlled Trials*. </w:t>
      </w:r>
      <w:r w:rsidRPr="00631844">
        <w:t>*Mindfulness*. ([Springer Nature][4])</w:t>
      </w:r>
    </w:p>
    <w:p w14:paraId="49F917D2" w14:textId="77777777" w:rsidR="00631844" w:rsidRPr="00631844" w:rsidRDefault="00631844" w:rsidP="00631844">
      <w:pPr>
        <w:numPr>
          <w:ilvl w:val="0"/>
          <w:numId w:val="77"/>
        </w:numPr>
        <w:jc w:val="both"/>
      </w:pPr>
      <w:r w:rsidRPr="00631844">
        <w:t>Organización Mundial de la Salud. (2022). *Mental Health at Work*.</w:t>
      </w:r>
    </w:p>
    <w:p w14:paraId="7A0BF640" w14:textId="77777777" w:rsidR="00622CF7" w:rsidRDefault="00622CF7" w:rsidP="000E46B3">
      <w:pPr>
        <w:jc w:val="both"/>
      </w:pPr>
    </w:p>
    <w:p w14:paraId="0074213C" w14:textId="77777777" w:rsidR="00622CF7" w:rsidRDefault="00622CF7" w:rsidP="000E46B3">
      <w:pPr>
        <w:jc w:val="both"/>
      </w:pPr>
    </w:p>
    <w:p w14:paraId="5FE0AF94" w14:textId="77777777" w:rsidR="00622CF7" w:rsidRDefault="00622CF7" w:rsidP="000E46B3">
      <w:pPr>
        <w:jc w:val="both"/>
      </w:pPr>
    </w:p>
    <w:p w14:paraId="75E29A37" w14:textId="77777777" w:rsidR="00631844" w:rsidRDefault="00631844" w:rsidP="000E46B3">
      <w:pPr>
        <w:jc w:val="both"/>
      </w:pPr>
    </w:p>
    <w:p w14:paraId="5683A88A" w14:textId="77777777" w:rsidR="00631844" w:rsidRDefault="00631844" w:rsidP="000E46B3">
      <w:pPr>
        <w:jc w:val="both"/>
      </w:pPr>
    </w:p>
    <w:p w14:paraId="6866B9E9" w14:textId="77777777" w:rsidR="00631844" w:rsidRDefault="00631844" w:rsidP="000E46B3">
      <w:pPr>
        <w:jc w:val="both"/>
      </w:pPr>
    </w:p>
    <w:p w14:paraId="6E56FBF5" w14:textId="77777777" w:rsidR="00631844" w:rsidRDefault="00631844" w:rsidP="000E46B3">
      <w:pPr>
        <w:jc w:val="both"/>
      </w:pPr>
    </w:p>
    <w:p w14:paraId="7C136F22" w14:textId="77777777" w:rsidR="00631844" w:rsidRDefault="00631844" w:rsidP="000E46B3">
      <w:pPr>
        <w:jc w:val="both"/>
      </w:pPr>
    </w:p>
    <w:p w14:paraId="33FBA99C" w14:textId="77777777" w:rsidR="00631844" w:rsidRDefault="00631844" w:rsidP="000E46B3">
      <w:pPr>
        <w:jc w:val="both"/>
      </w:pPr>
    </w:p>
    <w:p w14:paraId="092E6E31" w14:textId="77777777" w:rsidR="00631844" w:rsidRDefault="00631844" w:rsidP="000E46B3">
      <w:pPr>
        <w:jc w:val="both"/>
      </w:pPr>
    </w:p>
    <w:p w14:paraId="78DFBBA5" w14:textId="77777777" w:rsidR="00631844" w:rsidRDefault="00631844" w:rsidP="000E46B3">
      <w:pPr>
        <w:jc w:val="both"/>
      </w:pPr>
    </w:p>
    <w:p w14:paraId="28E57BBE" w14:textId="77777777" w:rsidR="00631844" w:rsidRDefault="00631844" w:rsidP="000E46B3">
      <w:pPr>
        <w:jc w:val="both"/>
      </w:pPr>
    </w:p>
    <w:p w14:paraId="658D8D28" w14:textId="77777777" w:rsidR="00631844" w:rsidRDefault="00631844" w:rsidP="000E46B3">
      <w:pPr>
        <w:jc w:val="both"/>
      </w:pPr>
    </w:p>
    <w:p w14:paraId="317BEA6E" w14:textId="77777777" w:rsidR="00631844" w:rsidRDefault="00631844" w:rsidP="000E46B3">
      <w:pPr>
        <w:jc w:val="both"/>
      </w:pPr>
    </w:p>
    <w:p w14:paraId="388FFDE7" w14:textId="77777777" w:rsidR="00631844" w:rsidRDefault="00631844" w:rsidP="000E46B3">
      <w:pPr>
        <w:jc w:val="both"/>
      </w:pPr>
    </w:p>
    <w:p w14:paraId="7FB2521D" w14:textId="77777777" w:rsidR="00631844" w:rsidRDefault="00631844" w:rsidP="000E46B3">
      <w:pPr>
        <w:jc w:val="both"/>
      </w:pPr>
    </w:p>
    <w:p w14:paraId="18B6D991" w14:textId="77777777" w:rsidR="00631844" w:rsidRDefault="00631844" w:rsidP="000E46B3">
      <w:pPr>
        <w:jc w:val="both"/>
      </w:pPr>
    </w:p>
    <w:p w14:paraId="63E11078" w14:textId="77777777" w:rsidR="00631844" w:rsidRDefault="00631844" w:rsidP="000E46B3">
      <w:pPr>
        <w:jc w:val="both"/>
      </w:pPr>
    </w:p>
    <w:p w14:paraId="12202F33" w14:textId="77777777" w:rsidR="00631844" w:rsidRDefault="00631844" w:rsidP="000E46B3">
      <w:pPr>
        <w:jc w:val="both"/>
      </w:pPr>
    </w:p>
    <w:p w14:paraId="0733831F" w14:textId="77777777" w:rsidR="00631844" w:rsidRDefault="00631844" w:rsidP="000E46B3">
      <w:pPr>
        <w:jc w:val="both"/>
      </w:pPr>
    </w:p>
    <w:p w14:paraId="723E59D8" w14:textId="77777777" w:rsidR="00631844" w:rsidRDefault="00631844" w:rsidP="000E46B3">
      <w:pPr>
        <w:jc w:val="both"/>
      </w:pPr>
    </w:p>
    <w:p w14:paraId="55590099" w14:textId="77777777" w:rsidR="00631844" w:rsidRDefault="00631844" w:rsidP="000E46B3">
      <w:pPr>
        <w:jc w:val="both"/>
      </w:pPr>
    </w:p>
    <w:p w14:paraId="7DDDB388" w14:textId="77777777" w:rsidR="00631844" w:rsidRDefault="00631844" w:rsidP="000E46B3">
      <w:pPr>
        <w:jc w:val="both"/>
      </w:pPr>
    </w:p>
    <w:p w14:paraId="79C304E5" w14:textId="77777777" w:rsidR="00631844" w:rsidRDefault="00631844" w:rsidP="000E46B3">
      <w:pPr>
        <w:jc w:val="both"/>
      </w:pPr>
    </w:p>
    <w:p w14:paraId="0E034C72" w14:textId="77777777" w:rsidR="00631844" w:rsidRDefault="00631844" w:rsidP="000E46B3">
      <w:pPr>
        <w:jc w:val="both"/>
      </w:pPr>
    </w:p>
    <w:p w14:paraId="7B0B14A2" w14:textId="77777777" w:rsidR="002A5BDD" w:rsidRPr="002A5BDD" w:rsidRDefault="002A5BDD" w:rsidP="002A5BDD">
      <w:pPr>
        <w:jc w:val="both"/>
      </w:pPr>
      <w:r w:rsidRPr="002A5BDD">
        <w:rPr>
          <w:b/>
        </w:rPr>
        <w:lastRenderedPageBreak/>
        <w:t>La confianza interpersonal como base del trabajo en equipo en el personal sanitario y no sanitario</w:t>
      </w:r>
    </w:p>
    <w:p w14:paraId="732373AC" w14:textId="77777777" w:rsidR="002A5BDD" w:rsidRPr="002A5BDD" w:rsidRDefault="002A5BDD" w:rsidP="002A5BDD">
      <w:pPr>
        <w:jc w:val="both"/>
        <w:rPr>
          <w:b/>
        </w:rPr>
      </w:pPr>
      <w:r w:rsidRPr="002A5BDD">
        <w:rPr>
          <w:b/>
        </w:rPr>
        <w:t>Introducción</w:t>
      </w:r>
    </w:p>
    <w:p w14:paraId="3219922F" w14:textId="77777777" w:rsidR="002A5BDD" w:rsidRPr="002A5BDD" w:rsidRDefault="002A5BDD" w:rsidP="002A5BDD">
      <w:pPr>
        <w:jc w:val="both"/>
      </w:pPr>
      <w:r w:rsidRPr="002A5BDD">
        <w:t>El trabajo en equipo constituye uno de los pilares fundamentales de las organizaciones sanitarias. La atención a los pacientes y el funcionamiento de los servicios dependen de la coordinación entre profesionales con perfiles, competencias y responsabilidades diferentes. En este contexto, la confianza interpersonal se convierte en un elemento esencial para facilitar la colaboración, el intercambio de información y la consecución de objetivos comunes.</w:t>
      </w:r>
    </w:p>
    <w:p w14:paraId="1A09E2ED" w14:textId="77777777" w:rsidR="002A5BDD" w:rsidRPr="002A5BDD" w:rsidRDefault="002A5BDD" w:rsidP="002A5BDD">
      <w:pPr>
        <w:jc w:val="both"/>
      </w:pPr>
      <w:r w:rsidRPr="002A5BDD">
        <w:t>La confianza en el entorno laboral implica la percepción de que los compañeros actuarán de forma competente, responsable y respetuosa, favoreciendo una comunicación abierta y una mayor disposición para solicitar ayuda o compartir conocimientos. Tanto el personal sanitario como el no sanitario participan diariamente en procesos que requieren una cooperación eficaz para garantizar la continuidad asistencial y la calidad del servicio.</w:t>
      </w:r>
    </w:p>
    <w:p w14:paraId="08536D60" w14:textId="77777777" w:rsidR="002A5BDD" w:rsidRPr="002A5BDD" w:rsidRDefault="002A5BDD" w:rsidP="002A5BDD">
      <w:pPr>
        <w:jc w:val="both"/>
      </w:pPr>
      <w:r w:rsidRPr="002A5BDD">
        <w:t>Diversas investigaciones han demostrado que los equipos con mayores niveles de confianza presentan una mejor capacidad para resolver problemas, adaptarse a situaciones imprevistas y prevenir errores.</w:t>
      </w:r>
    </w:p>
    <w:p w14:paraId="0397B619" w14:textId="77777777" w:rsidR="002A5BDD" w:rsidRPr="002A5BDD" w:rsidRDefault="002A5BDD" w:rsidP="002A5BDD">
      <w:pPr>
        <w:jc w:val="both"/>
        <w:rPr>
          <w:b/>
        </w:rPr>
      </w:pPr>
      <w:r w:rsidRPr="002A5BDD">
        <w:rPr>
          <w:b/>
        </w:rPr>
        <w:t>Objetivo</w:t>
      </w:r>
    </w:p>
    <w:p w14:paraId="6E3195BA" w14:textId="77777777" w:rsidR="002A5BDD" w:rsidRPr="002A5BDD" w:rsidRDefault="002A5BDD" w:rsidP="002A5BDD">
      <w:pPr>
        <w:jc w:val="both"/>
      </w:pPr>
      <w:r w:rsidRPr="002A5BDD">
        <w:t>Analizar la importancia de la confianza interpersonal en el trabajo en equipo y describir su influencia sobre la seguridad, la comunicación y la calidad del trabajo desarrollado por el personal sanitario y no sanitario.</w:t>
      </w:r>
    </w:p>
    <w:p w14:paraId="7F49E6B2" w14:textId="77777777" w:rsidR="002A5BDD" w:rsidRPr="002A5BDD" w:rsidRDefault="002A5BDD" w:rsidP="002A5BDD">
      <w:pPr>
        <w:jc w:val="both"/>
        <w:rPr>
          <w:b/>
        </w:rPr>
      </w:pPr>
      <w:r w:rsidRPr="002A5BDD">
        <w:rPr>
          <w:b/>
        </w:rPr>
        <w:t>Material y método</w:t>
      </w:r>
    </w:p>
    <w:p w14:paraId="51242AAE" w14:textId="77777777" w:rsidR="002A5BDD" w:rsidRPr="002A5BDD" w:rsidRDefault="002A5BDD" w:rsidP="002A5BDD">
      <w:pPr>
        <w:jc w:val="both"/>
      </w:pPr>
      <w:r w:rsidRPr="002A5BDD">
        <w:t xml:space="preserve">Se realizó una revisión bibliográfica descriptiva mediante la consulta de artículos científicos, revisiones sistemáticas y documentos técnicos publicados entre 2016 y 2025. Se revisaron las bases de datos PubMed, </w:t>
      </w:r>
      <w:proofErr w:type="spellStart"/>
      <w:r w:rsidRPr="002A5BDD">
        <w:t>Scopus</w:t>
      </w:r>
      <w:proofErr w:type="spellEnd"/>
      <w:r w:rsidRPr="002A5BDD">
        <w:t xml:space="preserve"> y Google Scholar, además de publicaciones relacionadas con liderazgo, comunicación organizacional, trabajo en equipo y seguridad del paciente.</w:t>
      </w:r>
    </w:p>
    <w:p w14:paraId="73864454" w14:textId="77777777" w:rsidR="002A5BDD" w:rsidRPr="002A5BDD" w:rsidRDefault="002A5BDD" w:rsidP="002A5BDD">
      <w:pPr>
        <w:jc w:val="both"/>
      </w:pPr>
      <w:r w:rsidRPr="002A5BDD">
        <w:t>Se seleccionaron estudios que analizaban la relación entre confianza, colaboración profesional y resultados organizativos.</w:t>
      </w:r>
    </w:p>
    <w:p w14:paraId="00F832AC" w14:textId="77777777" w:rsidR="002A5BDD" w:rsidRPr="002A5BDD" w:rsidRDefault="002A5BDD" w:rsidP="002A5BDD">
      <w:pPr>
        <w:jc w:val="both"/>
        <w:rPr>
          <w:b/>
        </w:rPr>
      </w:pPr>
      <w:r w:rsidRPr="002A5BDD">
        <w:rPr>
          <w:b/>
        </w:rPr>
        <w:t>Resultados</w:t>
      </w:r>
    </w:p>
    <w:p w14:paraId="4CBC902E" w14:textId="77777777" w:rsidR="002A5BDD" w:rsidRPr="002A5BDD" w:rsidRDefault="002A5BDD" w:rsidP="002A5BDD">
      <w:pPr>
        <w:jc w:val="both"/>
      </w:pPr>
      <w:r w:rsidRPr="002A5BDD">
        <w:t>La evidencia científica indica que la confianza interpersonal favorece una comunicación más fluida, incrementa la colaboración entre profesionales y mejora la coordinación de las actividades laborales.</w:t>
      </w:r>
    </w:p>
    <w:p w14:paraId="78F4082E" w14:textId="77777777" w:rsidR="002A5BDD" w:rsidRPr="002A5BDD" w:rsidRDefault="002A5BDD" w:rsidP="002A5BDD">
      <w:pPr>
        <w:jc w:val="both"/>
      </w:pPr>
      <w:r w:rsidRPr="002A5BDD">
        <w:lastRenderedPageBreak/>
        <w:t>En el personal sanitario, la confianza facilita la transmisión de información clínica, la consulta entre profesionales y la toma de decisiones compartidas durante la atención al paciente. En el personal no sanitario, mejora la coordinación entre departamentos, agiliza la resolución de incidencias y favorece la colaboración en actividades administrativas, logísticas y de apoyo.</w:t>
      </w:r>
    </w:p>
    <w:p w14:paraId="44EABF5A" w14:textId="77777777" w:rsidR="002A5BDD" w:rsidRPr="002A5BDD" w:rsidRDefault="002A5BDD" w:rsidP="002A5BDD">
      <w:pPr>
        <w:jc w:val="both"/>
      </w:pPr>
      <w:r w:rsidRPr="002A5BDD">
        <w:t>Los estudios muestran que los equipos con altos niveles de confianza presentan menor número de conflictos, mayor satisfacción laboral y una mejor capacidad para adaptarse a cambios organizativos o situaciones de elevada presión asistencial.</w:t>
      </w:r>
    </w:p>
    <w:p w14:paraId="7CBBB63C" w14:textId="77777777" w:rsidR="002A5BDD" w:rsidRPr="002A5BDD" w:rsidRDefault="002A5BDD" w:rsidP="002A5BDD">
      <w:pPr>
        <w:jc w:val="both"/>
      </w:pPr>
      <w:r w:rsidRPr="002A5BDD">
        <w:t>Asimismo, la existencia de objetivos comunes, el respeto mutuo, la comunicación transparente y el reconocimiento del trabajo realizado fortalecen las relaciones profesionales y contribuyen a crear un clima laboral positivo.</w:t>
      </w:r>
    </w:p>
    <w:p w14:paraId="484B1422" w14:textId="77777777" w:rsidR="002A5BDD" w:rsidRPr="002A5BDD" w:rsidRDefault="002A5BDD" w:rsidP="002A5BDD">
      <w:pPr>
        <w:jc w:val="both"/>
      </w:pPr>
      <w:r w:rsidRPr="002A5BDD">
        <w:t xml:space="preserve">La revisión también destaca que el liderazgo participativo y las reuniones periódicas para </w:t>
      </w:r>
    </w:p>
    <w:p w14:paraId="03502B68" w14:textId="77777777" w:rsidR="002A5BDD" w:rsidRPr="002A5BDD" w:rsidRDefault="002A5BDD" w:rsidP="002A5BDD">
      <w:pPr>
        <w:jc w:val="both"/>
      </w:pPr>
      <w:r w:rsidRPr="002A5BDD">
        <w:t>compartir información y experiencias favorecen el aprendizaje colectivo y consolidan una cultura de mejora continua.</w:t>
      </w:r>
    </w:p>
    <w:p w14:paraId="359DDA19" w14:textId="77777777" w:rsidR="002A5BDD" w:rsidRPr="002A5BDD" w:rsidRDefault="002A5BDD" w:rsidP="002A5BDD">
      <w:pPr>
        <w:jc w:val="both"/>
        <w:rPr>
          <w:b/>
        </w:rPr>
      </w:pPr>
      <w:r w:rsidRPr="002A5BDD">
        <w:rPr>
          <w:b/>
        </w:rPr>
        <w:t>Conclusiones</w:t>
      </w:r>
    </w:p>
    <w:p w14:paraId="03C4B619" w14:textId="77777777" w:rsidR="002A5BDD" w:rsidRPr="002A5BDD" w:rsidRDefault="002A5BDD" w:rsidP="002A5BDD">
      <w:pPr>
        <w:jc w:val="both"/>
      </w:pPr>
      <w:r w:rsidRPr="002A5BDD">
        <w:t>La confianza interpersonal constituye un elemento esencial para el desarrollo de un trabajo en equipo eficaz tanto en el personal sanitario como en el no sanitario.</w:t>
      </w:r>
    </w:p>
    <w:p w14:paraId="2C8A8C5D" w14:textId="77777777" w:rsidR="002A5BDD" w:rsidRPr="002A5BDD" w:rsidRDefault="002A5BDD" w:rsidP="002A5BDD">
      <w:pPr>
        <w:jc w:val="both"/>
      </w:pPr>
      <w:r w:rsidRPr="002A5BDD">
        <w:t>Fomentar relaciones basadas en el respeto, la colaboración y la comunicación abierta mejora la coordinación entre profesionales, incrementa la seguridad en los procesos de trabajo y favorece un entorno laboral más saludable.</w:t>
      </w:r>
    </w:p>
    <w:p w14:paraId="5A3796DD" w14:textId="77777777" w:rsidR="002A5BDD" w:rsidRPr="002A5BDD" w:rsidRDefault="002A5BDD" w:rsidP="002A5BDD">
      <w:pPr>
        <w:jc w:val="both"/>
      </w:pPr>
      <w:r w:rsidRPr="002A5BDD">
        <w:t xml:space="preserve">Las organizaciones que impulsan el desarrollo de equipos cohesionados y promueven la </w:t>
      </w:r>
      <w:proofErr w:type="gramStart"/>
      <w:r w:rsidRPr="002A5BDD">
        <w:t>participación activa</w:t>
      </w:r>
      <w:proofErr w:type="gramEnd"/>
      <w:r w:rsidRPr="002A5BDD">
        <w:t xml:space="preserve"> de todos sus profesionales obtienen mejores resultados en calidad asistencial, eficiencia organizativa y bienestar laboral.</w:t>
      </w:r>
    </w:p>
    <w:p w14:paraId="21A37647" w14:textId="77777777" w:rsidR="002A5BDD" w:rsidRPr="002A5BDD" w:rsidRDefault="002A5BDD" w:rsidP="002A5BDD">
      <w:pPr>
        <w:jc w:val="both"/>
        <w:rPr>
          <w:b/>
        </w:rPr>
      </w:pPr>
      <w:r w:rsidRPr="002A5BDD">
        <w:rPr>
          <w:b/>
        </w:rPr>
        <w:t>Bibliografía</w:t>
      </w:r>
    </w:p>
    <w:p w14:paraId="16FD3B0B" w14:textId="77777777" w:rsidR="002A5BDD" w:rsidRPr="002A5BDD" w:rsidRDefault="002A5BDD" w:rsidP="002A5BDD">
      <w:pPr>
        <w:numPr>
          <w:ilvl w:val="0"/>
          <w:numId w:val="78"/>
        </w:numPr>
        <w:jc w:val="both"/>
        <w:rPr>
          <w:lang w:val="en-GB"/>
        </w:rPr>
      </w:pPr>
      <w:r w:rsidRPr="002A5BDD">
        <w:t xml:space="preserve">Organización Mundial de la Salud. </w:t>
      </w:r>
      <w:r w:rsidRPr="002A5BDD">
        <w:rPr>
          <w:lang w:val="en-GB"/>
        </w:rPr>
        <w:t>(2021). *Global Patient Safety Action Plan 2021–2030</w:t>
      </w:r>
      <w:proofErr w:type="gramStart"/>
      <w:r w:rsidRPr="002A5BDD">
        <w:rPr>
          <w:lang w:val="en-GB"/>
        </w:rPr>
        <w:t>*.*</w:t>
      </w:r>
      <w:proofErr w:type="gramEnd"/>
      <w:r w:rsidRPr="002A5BDD">
        <w:rPr>
          <w:lang w:val="en-GB"/>
        </w:rPr>
        <w:t xml:space="preserve"> Agency for Healthcare Research and Quality. *</w:t>
      </w:r>
      <w:proofErr w:type="spellStart"/>
      <w:r w:rsidRPr="002A5BDD">
        <w:rPr>
          <w:lang w:val="en-GB"/>
        </w:rPr>
        <w:t>TeamSTEPPS</w:t>
      </w:r>
      <w:proofErr w:type="spellEnd"/>
      <w:r w:rsidRPr="002A5BDD">
        <w:rPr>
          <w:lang w:val="en-GB"/>
        </w:rPr>
        <w:t>® 3.0: Strategies and Tools to Enhance Performance and Patient Safety*.</w:t>
      </w:r>
    </w:p>
    <w:p w14:paraId="0BCEBFC9" w14:textId="77777777" w:rsidR="002A5BDD" w:rsidRPr="002A5BDD" w:rsidRDefault="002A5BDD" w:rsidP="002A5BDD">
      <w:pPr>
        <w:numPr>
          <w:ilvl w:val="0"/>
          <w:numId w:val="78"/>
        </w:numPr>
        <w:jc w:val="both"/>
      </w:pPr>
      <w:r w:rsidRPr="002A5BDD">
        <w:rPr>
          <w:lang w:val="en-GB"/>
        </w:rPr>
        <w:t xml:space="preserve">Amy C. Edmondson. (2019). *The Fearless Organization: Creating Psychological Safety in the Workplace for Learning, Innovation, and Growth*. </w:t>
      </w:r>
      <w:r w:rsidRPr="002A5BDD">
        <w:t>Wiley.</w:t>
      </w:r>
    </w:p>
    <w:p w14:paraId="15A02AA2" w14:textId="77777777" w:rsidR="002A5BDD" w:rsidRPr="002A5BDD" w:rsidRDefault="002A5BDD" w:rsidP="002A5BDD">
      <w:pPr>
        <w:numPr>
          <w:ilvl w:val="0"/>
          <w:numId w:val="78"/>
        </w:numPr>
        <w:jc w:val="both"/>
        <w:rPr>
          <w:lang w:val="en-GB"/>
        </w:rPr>
      </w:pPr>
      <w:r w:rsidRPr="002A5BDD">
        <w:rPr>
          <w:lang w:val="en-GB"/>
        </w:rPr>
        <w:t xml:space="preserve">J. Richard Hackman. (2002). *Leading Teams: Setting the Stage for Great Performances*. </w:t>
      </w:r>
    </w:p>
    <w:p w14:paraId="3C904D90" w14:textId="77777777" w:rsidR="002A5BDD" w:rsidRPr="002A5BDD" w:rsidRDefault="002A5BDD" w:rsidP="002A5BDD">
      <w:pPr>
        <w:jc w:val="both"/>
      </w:pPr>
      <w:r w:rsidRPr="002A5BDD">
        <w:t>Harvard Business School Press.</w:t>
      </w:r>
    </w:p>
    <w:p w14:paraId="06FC5672" w14:textId="77777777" w:rsidR="002A5BDD" w:rsidRPr="002A5BDD" w:rsidRDefault="002A5BDD" w:rsidP="002A5BDD">
      <w:pPr>
        <w:numPr>
          <w:ilvl w:val="0"/>
          <w:numId w:val="78"/>
        </w:numPr>
        <w:jc w:val="both"/>
      </w:pPr>
      <w:r w:rsidRPr="002A5BDD">
        <w:rPr>
          <w:lang w:val="en-GB"/>
        </w:rPr>
        <w:lastRenderedPageBreak/>
        <w:t xml:space="preserve">Salas, E., Reyes, D. L., &amp; McDaniel, S. H. (2018). The science of teamwork: Progress, reflections, and the road ahead. </w:t>
      </w:r>
      <w:r w:rsidRPr="002A5BDD">
        <w:t xml:space="preserve">*American </w:t>
      </w:r>
      <w:proofErr w:type="spellStart"/>
      <w:r w:rsidRPr="002A5BDD">
        <w:t>Psychologist</w:t>
      </w:r>
      <w:proofErr w:type="spellEnd"/>
      <w:r w:rsidRPr="002A5BDD">
        <w:t>*, 73(4), 593–600.</w:t>
      </w:r>
    </w:p>
    <w:p w14:paraId="02948553" w14:textId="77777777" w:rsidR="00631844" w:rsidRDefault="00631844" w:rsidP="000E46B3">
      <w:pPr>
        <w:jc w:val="both"/>
      </w:pPr>
    </w:p>
    <w:p w14:paraId="41EEBB8E" w14:textId="77777777" w:rsidR="00114855" w:rsidRDefault="00114855" w:rsidP="000E46B3">
      <w:pPr>
        <w:jc w:val="both"/>
      </w:pPr>
    </w:p>
    <w:p w14:paraId="0E201758" w14:textId="77777777" w:rsidR="00114855" w:rsidRDefault="00114855" w:rsidP="000E46B3">
      <w:pPr>
        <w:jc w:val="both"/>
      </w:pPr>
    </w:p>
    <w:p w14:paraId="4007C32F" w14:textId="77777777" w:rsidR="00114855" w:rsidRDefault="00114855" w:rsidP="000E46B3">
      <w:pPr>
        <w:jc w:val="both"/>
      </w:pPr>
    </w:p>
    <w:p w14:paraId="645F13E8" w14:textId="77777777" w:rsidR="00114855" w:rsidRDefault="00114855" w:rsidP="000E46B3">
      <w:pPr>
        <w:jc w:val="both"/>
      </w:pPr>
    </w:p>
    <w:p w14:paraId="3DE5953D" w14:textId="77777777" w:rsidR="00114855" w:rsidRDefault="00114855" w:rsidP="000E46B3">
      <w:pPr>
        <w:jc w:val="both"/>
      </w:pPr>
    </w:p>
    <w:p w14:paraId="784EDCB0" w14:textId="77777777" w:rsidR="00114855" w:rsidRDefault="00114855" w:rsidP="000E46B3">
      <w:pPr>
        <w:jc w:val="both"/>
      </w:pPr>
    </w:p>
    <w:p w14:paraId="20F16A1B" w14:textId="77777777" w:rsidR="00114855" w:rsidRDefault="00114855" w:rsidP="000E46B3">
      <w:pPr>
        <w:jc w:val="both"/>
      </w:pPr>
    </w:p>
    <w:p w14:paraId="1E3DDDB3" w14:textId="77777777" w:rsidR="00114855" w:rsidRDefault="00114855" w:rsidP="000E46B3">
      <w:pPr>
        <w:jc w:val="both"/>
      </w:pPr>
    </w:p>
    <w:p w14:paraId="250FAE8B" w14:textId="77777777" w:rsidR="00114855" w:rsidRDefault="00114855" w:rsidP="000E46B3">
      <w:pPr>
        <w:jc w:val="both"/>
      </w:pPr>
    </w:p>
    <w:p w14:paraId="741DB25A" w14:textId="77777777" w:rsidR="00114855" w:rsidRDefault="00114855" w:rsidP="000E46B3">
      <w:pPr>
        <w:jc w:val="both"/>
      </w:pPr>
    </w:p>
    <w:p w14:paraId="46F7027A" w14:textId="77777777" w:rsidR="00114855" w:rsidRDefault="00114855" w:rsidP="000E46B3">
      <w:pPr>
        <w:jc w:val="both"/>
      </w:pPr>
    </w:p>
    <w:p w14:paraId="28C46C74" w14:textId="77777777" w:rsidR="00114855" w:rsidRDefault="00114855" w:rsidP="000E46B3">
      <w:pPr>
        <w:jc w:val="both"/>
      </w:pPr>
    </w:p>
    <w:p w14:paraId="09B42314" w14:textId="77777777" w:rsidR="00114855" w:rsidRDefault="00114855" w:rsidP="000E46B3">
      <w:pPr>
        <w:jc w:val="both"/>
      </w:pPr>
    </w:p>
    <w:p w14:paraId="7D3093F6" w14:textId="77777777" w:rsidR="00114855" w:rsidRDefault="00114855" w:rsidP="000E46B3">
      <w:pPr>
        <w:jc w:val="both"/>
      </w:pPr>
    </w:p>
    <w:p w14:paraId="3509659F" w14:textId="77777777" w:rsidR="00114855" w:rsidRDefault="00114855" w:rsidP="000E46B3">
      <w:pPr>
        <w:jc w:val="both"/>
      </w:pPr>
    </w:p>
    <w:p w14:paraId="5624C1FD" w14:textId="77777777" w:rsidR="00114855" w:rsidRDefault="00114855" w:rsidP="000E46B3">
      <w:pPr>
        <w:jc w:val="both"/>
      </w:pPr>
    </w:p>
    <w:p w14:paraId="4D2F3187" w14:textId="77777777" w:rsidR="00114855" w:rsidRDefault="00114855" w:rsidP="000E46B3">
      <w:pPr>
        <w:jc w:val="both"/>
      </w:pPr>
    </w:p>
    <w:p w14:paraId="62596AC2" w14:textId="77777777" w:rsidR="00114855" w:rsidRDefault="00114855" w:rsidP="000E46B3">
      <w:pPr>
        <w:jc w:val="both"/>
      </w:pPr>
    </w:p>
    <w:p w14:paraId="080D9A58" w14:textId="77777777" w:rsidR="00114855" w:rsidRDefault="00114855" w:rsidP="000E46B3">
      <w:pPr>
        <w:jc w:val="both"/>
      </w:pPr>
    </w:p>
    <w:p w14:paraId="1168C7A1" w14:textId="77777777" w:rsidR="00114855" w:rsidRDefault="00114855" w:rsidP="000E46B3">
      <w:pPr>
        <w:jc w:val="both"/>
      </w:pPr>
    </w:p>
    <w:p w14:paraId="6E3919B8" w14:textId="77777777" w:rsidR="00114855" w:rsidRDefault="00114855" w:rsidP="000E46B3">
      <w:pPr>
        <w:jc w:val="both"/>
      </w:pPr>
    </w:p>
    <w:p w14:paraId="5591C101" w14:textId="77777777" w:rsidR="00114855" w:rsidRDefault="00114855" w:rsidP="000E46B3">
      <w:pPr>
        <w:jc w:val="both"/>
      </w:pPr>
    </w:p>
    <w:p w14:paraId="29AF238D" w14:textId="77777777" w:rsidR="00114855" w:rsidRDefault="00114855" w:rsidP="000E46B3">
      <w:pPr>
        <w:jc w:val="both"/>
      </w:pPr>
    </w:p>
    <w:p w14:paraId="247ED2F2" w14:textId="77777777" w:rsidR="00114855" w:rsidRDefault="00114855" w:rsidP="000E46B3">
      <w:pPr>
        <w:jc w:val="both"/>
      </w:pPr>
    </w:p>
    <w:p w14:paraId="39FDEA8A" w14:textId="77777777" w:rsidR="00114855" w:rsidRDefault="00114855" w:rsidP="000E46B3">
      <w:pPr>
        <w:jc w:val="both"/>
      </w:pPr>
    </w:p>
    <w:p w14:paraId="29792CAE" w14:textId="77777777" w:rsidR="00114855" w:rsidRPr="00114855" w:rsidRDefault="00114855" w:rsidP="00114855">
      <w:pPr>
        <w:jc w:val="both"/>
      </w:pPr>
      <w:r w:rsidRPr="00114855">
        <w:rPr>
          <w:b/>
        </w:rPr>
        <w:lastRenderedPageBreak/>
        <w:t>PREVENCIÓN DEL DELIRIUM MEDIANTE INTERVENCIONES DE ENFERMERÍA EN PACIENTES CRÍTICOS</w:t>
      </w:r>
    </w:p>
    <w:p w14:paraId="28B3E53B" w14:textId="77777777" w:rsidR="00114855" w:rsidRPr="00114855" w:rsidRDefault="00114855" w:rsidP="00114855">
      <w:pPr>
        <w:jc w:val="both"/>
        <w:rPr>
          <w:b/>
        </w:rPr>
      </w:pPr>
      <w:r w:rsidRPr="00114855">
        <w:rPr>
          <w:b/>
        </w:rPr>
        <w:t>Introducción</w:t>
      </w:r>
    </w:p>
    <w:p w14:paraId="186DCFFE" w14:textId="77777777" w:rsidR="00114855" w:rsidRPr="00114855" w:rsidRDefault="00114855" w:rsidP="00114855">
      <w:pPr>
        <w:jc w:val="both"/>
      </w:pPr>
      <w:r w:rsidRPr="00114855">
        <w:t>El delirium es una alteración aguda del estado mental caracterizada por cambios en el nivel de conciencia, déficit de atención y alteraciones cognitivas de inicio brusco y curso fluctuante. Se trata de una de las complicaciones más frecuentes en las unidades de cuidados intensivos (UCI), con una elevada prevalencia entre pacientes críticos, especialmente aquellos sometidos a ventilación mecánica, sedación prolongada o con múltiples comorbilidades. Su aparición se asocia a un incremento de la estancia hospitalaria, mayor riesgo de complicaciones, deterioro funcional, aumento de la mortalidad y peor calidad de vida tras el alta.</w:t>
      </w:r>
    </w:p>
    <w:p w14:paraId="47D108A8" w14:textId="77777777" w:rsidR="00114855" w:rsidRPr="00114855" w:rsidRDefault="00114855" w:rsidP="00114855">
      <w:pPr>
        <w:jc w:val="both"/>
      </w:pPr>
      <w:r w:rsidRPr="00114855">
        <w:t xml:space="preserve">Los profesionales de enfermería desempeñan un papel fundamental en la prevención, detección precoz y manejo del delirium. La aplicación de intervenciones no farmacológicas, como la orientación del paciente, la movilización temprana, la optimización del sueño, el control del dolor y la participación de la </w:t>
      </w:r>
      <w:proofErr w:type="gramStart"/>
      <w:r w:rsidRPr="00114855">
        <w:t>familia,</w:t>
      </w:r>
      <w:proofErr w:type="gramEnd"/>
      <w:r w:rsidRPr="00114855">
        <w:t xml:space="preserve"> ha demostrado ser eficaz para disminuir la incidencia de esta complicación. Además, la vigilancia continua propia de la práctica enfermera facilita la identificación temprana de cambios en el estado neurológico, permitiendo una intervención rápida y coordinada con el resto del equipo asistencial.</w:t>
      </w:r>
    </w:p>
    <w:p w14:paraId="3945F684" w14:textId="77777777" w:rsidR="00114855" w:rsidRPr="00114855" w:rsidRDefault="00114855" w:rsidP="00114855">
      <w:pPr>
        <w:jc w:val="both"/>
      </w:pPr>
      <w:r w:rsidRPr="00114855">
        <w:t>El objetivo de este estudio fue evaluar la aplicación de intervenciones de enfermería dirigidas a la prevención del delirium en pacientes críticos y analizar su relación con la aparición de esta complicación durante el ingreso en la UCI.</w:t>
      </w:r>
    </w:p>
    <w:p w14:paraId="4C0EE57E" w14:textId="77777777" w:rsidR="00114855" w:rsidRPr="00114855" w:rsidRDefault="00114855" w:rsidP="00114855">
      <w:pPr>
        <w:jc w:val="both"/>
        <w:rPr>
          <w:b/>
        </w:rPr>
      </w:pPr>
      <w:r w:rsidRPr="00114855">
        <w:rPr>
          <w:b/>
        </w:rPr>
        <w:t>Material y métodos</w:t>
      </w:r>
    </w:p>
    <w:p w14:paraId="7286EDCF" w14:textId="77777777" w:rsidR="00114855" w:rsidRPr="00114855" w:rsidRDefault="00114855" w:rsidP="00114855">
      <w:pPr>
        <w:jc w:val="both"/>
      </w:pPr>
      <w:r w:rsidRPr="00114855">
        <w:t>Se realizó un estudio observacional, descriptivo y transversal en la unidad de cuidados intensivos de un hospital general de segundo nivel. La población de estudio estuvo constituida por pacientes adultos ingresados durante el periodo de estudio con una estancia superior a 48 horas.</w:t>
      </w:r>
    </w:p>
    <w:p w14:paraId="3D5E12A3" w14:textId="77777777" w:rsidR="00114855" w:rsidRPr="00114855" w:rsidRDefault="00114855" w:rsidP="00114855">
      <w:pPr>
        <w:jc w:val="both"/>
      </w:pPr>
      <w:r w:rsidRPr="00114855">
        <w:t>Se revisaron las historias clínicas y los registros de enfermería para recoger variables sociodemográficas, motivo de ingreso, duración de la estancia en UCI, necesidad de ventilación mecánica y factores de riesgo para delirium. Asimismo, se registró la aplicación de intervenciones preventivas de enfermería, entre ellas la valoración diaria mediante una escala validada para la detección de delirium, la movilización precoz, la orientación temporal y espacial, la promoción del descanso nocturno, el control del dolor, la reducción de estímulos innecesarios y la participación de los familiares en el proceso asistencial.</w:t>
      </w:r>
    </w:p>
    <w:p w14:paraId="5CFDDB8B" w14:textId="77777777" w:rsidR="00114855" w:rsidRPr="00114855" w:rsidRDefault="00114855" w:rsidP="00114855">
      <w:pPr>
        <w:jc w:val="both"/>
      </w:pPr>
      <w:r w:rsidRPr="00114855">
        <w:lastRenderedPageBreak/>
        <w:t>Los datos fueron analizados mediante estadística descriptiva. Las variables cuantitativas se expresaron como media y desviación estándar, mientras que las cualitativas se presentaron mediante frecuencias y porcentajes.</w:t>
      </w:r>
    </w:p>
    <w:p w14:paraId="11DC45A8" w14:textId="77777777" w:rsidR="00114855" w:rsidRPr="00114855" w:rsidRDefault="00114855" w:rsidP="00114855">
      <w:pPr>
        <w:jc w:val="both"/>
        <w:rPr>
          <w:b/>
        </w:rPr>
      </w:pPr>
      <w:r w:rsidRPr="00114855">
        <w:rPr>
          <w:b/>
        </w:rPr>
        <w:t>Resultados</w:t>
      </w:r>
    </w:p>
    <w:p w14:paraId="4A68EF8F" w14:textId="77777777" w:rsidR="00114855" w:rsidRPr="00114855" w:rsidRDefault="00114855" w:rsidP="00114855">
      <w:pPr>
        <w:jc w:val="both"/>
      </w:pPr>
      <w:r w:rsidRPr="00114855">
        <w:t>Se incluyeron 104 pacientes con una edad media de 65,4 ± 12,1 años. El 62% fueron hombres y el 38% mujeres. La estancia media en la UCI fue de 7,6 días.</w:t>
      </w:r>
    </w:p>
    <w:p w14:paraId="36BB1D43" w14:textId="77777777" w:rsidR="00114855" w:rsidRPr="00114855" w:rsidRDefault="00114855" w:rsidP="00114855">
      <w:pPr>
        <w:jc w:val="both"/>
      </w:pPr>
      <w:r w:rsidRPr="00114855">
        <w:t>Las intervenciones preventivas más frecuentemente registradas fueron la valoración diaria del estado cognitivo (92%), el control sistemático del dolor (89%), la promoción del descanso nocturno (81%), la orientación temporal y espacial (78%) y la movilización precoz cuando la situación clínica lo permitió (74%).</w:t>
      </w:r>
    </w:p>
    <w:p w14:paraId="435E64C9" w14:textId="77777777" w:rsidR="00114855" w:rsidRPr="00114855" w:rsidRDefault="00114855" w:rsidP="00114855">
      <w:pPr>
        <w:jc w:val="both"/>
      </w:pPr>
      <w:r w:rsidRPr="00114855">
        <w:t>El delirium se presentó en el 23% de los pacientes durante su estancia en la unidad. La incidencia fue menor entre aquellos que recibieron de forma continuada un conjunto de intervenciones preventivas registradas por enfermería. Asimismo, los pacientes con ventilación mecánica prolongada y mayor gravedad clínica mostraron una mayor frecuencia de episodios de delirium.</w:t>
      </w:r>
    </w:p>
    <w:p w14:paraId="174D5DDF" w14:textId="77777777" w:rsidR="00114855" w:rsidRPr="00114855" w:rsidRDefault="00114855" w:rsidP="00114855">
      <w:pPr>
        <w:jc w:val="both"/>
      </w:pPr>
      <w:r w:rsidRPr="00114855">
        <w:t>El 85% de los profesionales de enfermería consideró que la utilización de protocolos específicos facilitaba la detección precoz y el abordaje de esta complicación.</w:t>
      </w:r>
    </w:p>
    <w:p w14:paraId="0E16E83D" w14:textId="77777777" w:rsidR="00114855" w:rsidRPr="00114855" w:rsidRDefault="00114855" w:rsidP="00114855">
      <w:pPr>
        <w:jc w:val="both"/>
        <w:rPr>
          <w:b/>
        </w:rPr>
      </w:pPr>
      <w:r w:rsidRPr="00114855">
        <w:rPr>
          <w:b/>
        </w:rPr>
        <w:t>Conclusiones</w:t>
      </w:r>
    </w:p>
    <w:p w14:paraId="1FD836CB" w14:textId="77777777" w:rsidR="00114855" w:rsidRPr="00114855" w:rsidRDefault="00114855" w:rsidP="00114855">
      <w:pPr>
        <w:jc w:val="both"/>
      </w:pPr>
      <w:r w:rsidRPr="00114855">
        <w:t>Las intervenciones de enfermería desempeñan un papel esencial en la prevención del delirium en pacientes críticos. La valoración sistemática del estado cognitivo, la movilización temprana, el control del dolor, la promoción del sueño y la orientación del paciente constituyen estrategias eficaces para reducir la incidencia de esta complicación y mejorar la evolución clínica.</w:t>
      </w:r>
    </w:p>
    <w:p w14:paraId="44BAB9ED" w14:textId="77777777" w:rsidR="00114855" w:rsidRPr="00114855" w:rsidRDefault="00114855" w:rsidP="00114855">
      <w:pPr>
        <w:jc w:val="both"/>
      </w:pPr>
      <w:r w:rsidRPr="00114855">
        <w:t>Los resultados refuerzan la importancia de implantar protocolos estandarizados de prevención del delirium y de potenciar la formación continuada de los profesionales de enfermería en su identificación y manejo. La aplicación sistemática de medidas preventivas, integrada dentro de los cuidados habituales en las unidades de cuidados intensivos, puede contribuir a mejorar la seguridad del paciente, disminuir las complicaciones asociadas al ingreso y optimizar la calidad de la atención enfermera.</w:t>
      </w:r>
    </w:p>
    <w:p w14:paraId="4A7B8B12" w14:textId="77777777" w:rsidR="00114855" w:rsidRPr="00114855" w:rsidRDefault="00114855" w:rsidP="00114855">
      <w:pPr>
        <w:jc w:val="both"/>
        <w:rPr>
          <w:b/>
        </w:rPr>
      </w:pPr>
      <w:r w:rsidRPr="00114855">
        <w:rPr>
          <w:b/>
        </w:rPr>
        <w:t>Bibliografía</w:t>
      </w:r>
    </w:p>
    <w:p w14:paraId="00930071" w14:textId="77777777" w:rsidR="00114855" w:rsidRPr="00114855" w:rsidRDefault="00114855" w:rsidP="00114855">
      <w:pPr>
        <w:numPr>
          <w:ilvl w:val="0"/>
          <w:numId w:val="79"/>
        </w:numPr>
        <w:jc w:val="both"/>
      </w:pPr>
      <w:r w:rsidRPr="00114855">
        <w:rPr>
          <w:lang w:val="en-GB"/>
        </w:rPr>
        <w:t xml:space="preserve">Society of Critical Care Medicine. </w:t>
      </w:r>
      <w:r w:rsidRPr="00114855">
        <w:rPr>
          <w:i/>
          <w:lang w:val="en-GB"/>
        </w:rPr>
        <w:t>Clinical Practice Guidelines for the Prevention and Management of Pain, Agitation/Sedation, Delirium, Immobility, and Sleep Disruption in Adult Patients in the ICU</w:t>
      </w:r>
      <w:r w:rsidRPr="00114855">
        <w:rPr>
          <w:lang w:val="en-GB"/>
        </w:rPr>
        <w:t xml:space="preserve">. </w:t>
      </w:r>
      <w:proofErr w:type="spellStart"/>
      <w:r w:rsidRPr="00114855">
        <w:rPr>
          <w:i/>
        </w:rPr>
        <w:t>Critical</w:t>
      </w:r>
      <w:proofErr w:type="spellEnd"/>
      <w:r w:rsidRPr="00114855">
        <w:rPr>
          <w:i/>
        </w:rPr>
        <w:t xml:space="preserve"> Care Medicine</w:t>
      </w:r>
      <w:r w:rsidRPr="00114855">
        <w:t>. 2018;46(9).</w:t>
      </w:r>
    </w:p>
    <w:p w14:paraId="2284ACCB" w14:textId="77777777" w:rsidR="00114855" w:rsidRPr="00114855" w:rsidRDefault="00114855" w:rsidP="00114855">
      <w:pPr>
        <w:numPr>
          <w:ilvl w:val="0"/>
          <w:numId w:val="79"/>
        </w:numPr>
        <w:jc w:val="both"/>
      </w:pPr>
      <w:r w:rsidRPr="00114855">
        <w:rPr>
          <w:lang w:val="en-GB"/>
        </w:rPr>
        <w:lastRenderedPageBreak/>
        <w:t xml:space="preserve">World Health Organization. </w:t>
      </w:r>
      <w:r w:rsidRPr="00114855">
        <w:rPr>
          <w:i/>
          <w:lang w:val="en-GB"/>
        </w:rPr>
        <w:t>Patient Safety: Global Action Plan 2021–2030</w:t>
      </w:r>
      <w:r w:rsidRPr="00114855">
        <w:rPr>
          <w:lang w:val="en-GB"/>
        </w:rPr>
        <w:t xml:space="preserve">. </w:t>
      </w:r>
      <w:r w:rsidRPr="00114855">
        <w:t>Ginebra: Organización Mundial de la Salud; 2021.</w:t>
      </w:r>
    </w:p>
    <w:p w14:paraId="56E5B4FF" w14:textId="77777777" w:rsidR="00114855" w:rsidRPr="00114855" w:rsidRDefault="00114855" w:rsidP="00114855">
      <w:pPr>
        <w:numPr>
          <w:ilvl w:val="0"/>
          <w:numId w:val="79"/>
        </w:numPr>
        <w:jc w:val="both"/>
      </w:pPr>
      <w:r w:rsidRPr="00114855">
        <w:rPr>
          <w:lang w:val="en-GB"/>
        </w:rPr>
        <w:t xml:space="preserve">Ely EW, Inouye SK. The importance of delirium in critically ill patients. </w:t>
      </w:r>
      <w:r w:rsidRPr="00114855">
        <w:rPr>
          <w:i/>
        </w:rPr>
        <w:t xml:space="preserve">New England </w:t>
      </w:r>
      <w:proofErr w:type="spellStart"/>
      <w:r w:rsidRPr="00114855">
        <w:rPr>
          <w:i/>
        </w:rPr>
        <w:t>Journal</w:t>
      </w:r>
      <w:proofErr w:type="spellEnd"/>
      <w:r w:rsidRPr="00114855">
        <w:rPr>
          <w:i/>
        </w:rPr>
        <w:t xml:space="preserve"> </w:t>
      </w:r>
      <w:proofErr w:type="spellStart"/>
      <w:r w:rsidRPr="00114855">
        <w:rPr>
          <w:i/>
        </w:rPr>
        <w:t>of</w:t>
      </w:r>
      <w:proofErr w:type="spellEnd"/>
      <w:r w:rsidRPr="00114855">
        <w:rPr>
          <w:i/>
        </w:rPr>
        <w:t xml:space="preserve"> Medicine</w:t>
      </w:r>
      <w:r w:rsidRPr="00114855">
        <w:t xml:space="preserve">. </w:t>
      </w:r>
      <w:proofErr w:type="gramStart"/>
      <w:r w:rsidRPr="00114855">
        <w:t>2014;370:444</w:t>
      </w:r>
      <w:proofErr w:type="gramEnd"/>
      <w:r w:rsidRPr="00114855">
        <w:t>-454.</w:t>
      </w:r>
    </w:p>
    <w:p w14:paraId="455D8A64" w14:textId="77777777" w:rsidR="00114855" w:rsidRPr="00114855" w:rsidRDefault="00114855" w:rsidP="00114855">
      <w:pPr>
        <w:numPr>
          <w:ilvl w:val="0"/>
          <w:numId w:val="79"/>
        </w:numPr>
        <w:jc w:val="both"/>
      </w:pPr>
      <w:r w:rsidRPr="00114855">
        <w:rPr>
          <w:lang w:val="en-GB"/>
        </w:rPr>
        <w:t xml:space="preserve">American Association of Critical-Care Nurses. </w:t>
      </w:r>
      <w:r w:rsidRPr="00114855">
        <w:rPr>
          <w:i/>
          <w:lang w:val="en-GB"/>
        </w:rPr>
        <w:t>AACN Practice Alert: Delirium Assessment and Management</w:t>
      </w:r>
      <w:r w:rsidRPr="00114855">
        <w:rPr>
          <w:lang w:val="en-GB"/>
        </w:rPr>
        <w:t xml:space="preserve">. </w:t>
      </w:r>
      <w:r w:rsidRPr="00114855">
        <w:t>Aliso Viejo, CA: AACN; 2023.</w:t>
      </w:r>
    </w:p>
    <w:p w14:paraId="30930821" w14:textId="77777777" w:rsidR="00114855" w:rsidRPr="00114855" w:rsidRDefault="00114855" w:rsidP="00114855">
      <w:pPr>
        <w:numPr>
          <w:ilvl w:val="0"/>
          <w:numId w:val="79"/>
        </w:numPr>
        <w:jc w:val="both"/>
        <w:rPr>
          <w:lang w:val="en-GB"/>
        </w:rPr>
      </w:pPr>
      <w:r w:rsidRPr="00114855">
        <w:rPr>
          <w:lang w:val="en-GB"/>
        </w:rPr>
        <w:t xml:space="preserve">Inouye SK, </w:t>
      </w:r>
      <w:proofErr w:type="spellStart"/>
      <w:r w:rsidRPr="00114855">
        <w:rPr>
          <w:lang w:val="en-GB"/>
        </w:rPr>
        <w:t>Westendorp</w:t>
      </w:r>
      <w:proofErr w:type="spellEnd"/>
      <w:r w:rsidRPr="00114855">
        <w:rPr>
          <w:lang w:val="en-GB"/>
        </w:rPr>
        <w:t xml:space="preserve"> RGJ, </w:t>
      </w:r>
      <w:proofErr w:type="spellStart"/>
      <w:r w:rsidRPr="00114855">
        <w:rPr>
          <w:lang w:val="en-GB"/>
        </w:rPr>
        <w:t>Saczynski</w:t>
      </w:r>
      <w:proofErr w:type="spellEnd"/>
      <w:r w:rsidRPr="00114855">
        <w:rPr>
          <w:lang w:val="en-GB"/>
        </w:rPr>
        <w:t xml:space="preserve"> JS. Delirium in elderly people. </w:t>
      </w:r>
      <w:r w:rsidRPr="00114855">
        <w:rPr>
          <w:i/>
          <w:lang w:val="en-GB"/>
        </w:rPr>
        <w:t>The Lancet</w:t>
      </w:r>
      <w:r w:rsidRPr="00114855">
        <w:rPr>
          <w:lang w:val="en-GB"/>
        </w:rPr>
        <w:t xml:space="preserve">. </w:t>
      </w:r>
    </w:p>
    <w:p w14:paraId="13AB9FC0" w14:textId="77777777" w:rsidR="00114855" w:rsidRPr="00114855" w:rsidRDefault="00114855" w:rsidP="00114855">
      <w:pPr>
        <w:jc w:val="both"/>
      </w:pPr>
      <w:r w:rsidRPr="00114855">
        <w:t>2014;383(9920):911-922.</w:t>
      </w:r>
    </w:p>
    <w:p w14:paraId="04AE4574" w14:textId="77777777" w:rsidR="00114855" w:rsidRDefault="00114855" w:rsidP="000E46B3">
      <w:pPr>
        <w:jc w:val="both"/>
      </w:pPr>
    </w:p>
    <w:p w14:paraId="5BA4B950" w14:textId="77777777" w:rsidR="00114855" w:rsidRDefault="00114855" w:rsidP="000E46B3">
      <w:pPr>
        <w:jc w:val="both"/>
      </w:pPr>
    </w:p>
    <w:p w14:paraId="3BA1260E" w14:textId="77777777" w:rsidR="00114855" w:rsidRDefault="00114855" w:rsidP="000E46B3">
      <w:pPr>
        <w:jc w:val="both"/>
      </w:pPr>
    </w:p>
    <w:p w14:paraId="4B899C7E" w14:textId="77777777" w:rsidR="00114855" w:rsidRDefault="00114855" w:rsidP="000E46B3">
      <w:pPr>
        <w:jc w:val="both"/>
      </w:pPr>
    </w:p>
    <w:p w14:paraId="79F1DDAF" w14:textId="77777777" w:rsidR="00114855" w:rsidRDefault="00114855" w:rsidP="000E46B3">
      <w:pPr>
        <w:jc w:val="both"/>
      </w:pPr>
    </w:p>
    <w:p w14:paraId="7986055A" w14:textId="77777777" w:rsidR="00114855" w:rsidRDefault="00114855" w:rsidP="000E46B3">
      <w:pPr>
        <w:jc w:val="both"/>
      </w:pPr>
    </w:p>
    <w:p w14:paraId="78216DE2" w14:textId="77777777" w:rsidR="00114855" w:rsidRDefault="00114855" w:rsidP="000E46B3">
      <w:pPr>
        <w:jc w:val="both"/>
      </w:pPr>
    </w:p>
    <w:p w14:paraId="424962FA" w14:textId="77777777" w:rsidR="00114855" w:rsidRDefault="00114855" w:rsidP="000E46B3">
      <w:pPr>
        <w:jc w:val="both"/>
      </w:pPr>
    </w:p>
    <w:p w14:paraId="4C563AC8" w14:textId="77777777" w:rsidR="00114855" w:rsidRDefault="00114855" w:rsidP="000E46B3">
      <w:pPr>
        <w:jc w:val="both"/>
      </w:pPr>
    </w:p>
    <w:p w14:paraId="32209C2A" w14:textId="77777777" w:rsidR="00114855" w:rsidRDefault="00114855" w:rsidP="000E46B3">
      <w:pPr>
        <w:jc w:val="both"/>
      </w:pPr>
    </w:p>
    <w:p w14:paraId="1AC82393" w14:textId="77777777" w:rsidR="00114855" w:rsidRDefault="00114855" w:rsidP="000E46B3">
      <w:pPr>
        <w:jc w:val="both"/>
      </w:pPr>
    </w:p>
    <w:p w14:paraId="091CBFF8" w14:textId="77777777" w:rsidR="00114855" w:rsidRDefault="00114855" w:rsidP="000E46B3">
      <w:pPr>
        <w:jc w:val="both"/>
      </w:pPr>
    </w:p>
    <w:p w14:paraId="4347225C" w14:textId="77777777" w:rsidR="00114855" w:rsidRDefault="00114855" w:rsidP="000E46B3">
      <w:pPr>
        <w:jc w:val="both"/>
      </w:pPr>
    </w:p>
    <w:p w14:paraId="1CD5A5EB" w14:textId="77777777" w:rsidR="00114855" w:rsidRDefault="00114855" w:rsidP="000E46B3">
      <w:pPr>
        <w:jc w:val="both"/>
      </w:pPr>
    </w:p>
    <w:p w14:paraId="1622547E" w14:textId="77777777" w:rsidR="00114855" w:rsidRDefault="00114855" w:rsidP="000E46B3">
      <w:pPr>
        <w:jc w:val="both"/>
      </w:pPr>
    </w:p>
    <w:p w14:paraId="0C3ACBB1" w14:textId="77777777" w:rsidR="00114855" w:rsidRDefault="00114855" w:rsidP="000E46B3">
      <w:pPr>
        <w:jc w:val="both"/>
      </w:pPr>
    </w:p>
    <w:p w14:paraId="40FFE671" w14:textId="77777777" w:rsidR="00114855" w:rsidRDefault="00114855" w:rsidP="000E46B3">
      <w:pPr>
        <w:jc w:val="both"/>
      </w:pPr>
    </w:p>
    <w:p w14:paraId="6EA12F0F" w14:textId="77777777" w:rsidR="00114855" w:rsidRDefault="00114855" w:rsidP="000E46B3">
      <w:pPr>
        <w:jc w:val="both"/>
      </w:pPr>
    </w:p>
    <w:p w14:paraId="20AF3DF7" w14:textId="77777777" w:rsidR="00114855" w:rsidRDefault="00114855" w:rsidP="000E46B3">
      <w:pPr>
        <w:jc w:val="both"/>
      </w:pPr>
    </w:p>
    <w:p w14:paraId="6D551BBD" w14:textId="77777777" w:rsidR="00114855" w:rsidRDefault="00114855" w:rsidP="000E46B3">
      <w:pPr>
        <w:jc w:val="both"/>
      </w:pPr>
    </w:p>
    <w:p w14:paraId="51CFB383" w14:textId="77777777" w:rsidR="006B57B2" w:rsidRPr="006B57B2" w:rsidRDefault="006B57B2" w:rsidP="006B57B2">
      <w:pPr>
        <w:jc w:val="both"/>
      </w:pPr>
      <w:r w:rsidRPr="006B57B2">
        <w:rPr>
          <w:b/>
        </w:rPr>
        <w:lastRenderedPageBreak/>
        <w:t>CULTURA DE SEGURIDAD DEL PACIENTE ENTRE LOS PROFESIONALES DE ENFERMERÍA</w:t>
      </w:r>
    </w:p>
    <w:p w14:paraId="28268A13" w14:textId="77777777" w:rsidR="006B57B2" w:rsidRPr="006B57B2" w:rsidRDefault="006B57B2" w:rsidP="006B57B2">
      <w:pPr>
        <w:jc w:val="both"/>
        <w:rPr>
          <w:b/>
        </w:rPr>
      </w:pPr>
      <w:r w:rsidRPr="006B57B2">
        <w:rPr>
          <w:b/>
        </w:rPr>
        <w:t>Introducción</w:t>
      </w:r>
    </w:p>
    <w:p w14:paraId="698BBA70" w14:textId="77777777" w:rsidR="006B57B2" w:rsidRPr="006B57B2" w:rsidRDefault="006B57B2" w:rsidP="006B57B2">
      <w:pPr>
        <w:jc w:val="both"/>
      </w:pPr>
      <w:r w:rsidRPr="006B57B2">
        <w:t>La seguridad del paciente constituye uno de los pilares fundamentales de la calidad asistencial y representa una prioridad para los sistemas sanitarios a nivel mundial. La Organización Mundial de la Salud define la cultura de seguridad como el conjunto de valores, actitudes, competencias y comportamientos que determinan el compromiso de una organización con la gestión de la seguridad y la prevención de eventos adversos. En este contexto, los profesionales de enfermería desempeñan un papel esencial, ya que mantienen un contacto continuo con los pacientes y participan en la mayoría de los procesos asistenciales.</w:t>
      </w:r>
    </w:p>
    <w:p w14:paraId="307C5C17" w14:textId="77777777" w:rsidR="006B57B2" w:rsidRPr="006B57B2" w:rsidRDefault="006B57B2" w:rsidP="006B57B2">
      <w:pPr>
        <w:jc w:val="both"/>
      </w:pPr>
      <w:r w:rsidRPr="006B57B2">
        <w:t>Una cultura de seguridad sólida favorece la identificación precoz de riesgos, la comunicación abierta entre profesionales, la notificación de incidentes y el aprendizaje organizacional. Por el contrario, la falta de comunicación, el exceso de carga asistencial y el temor a las consecuencias de informar sobre errores pueden incrementar la probabilidad de eventos adversos y comprometer la calidad de la atención.</w:t>
      </w:r>
    </w:p>
    <w:p w14:paraId="2DE5AC6F" w14:textId="77777777" w:rsidR="006B57B2" w:rsidRPr="006B57B2" w:rsidRDefault="006B57B2" w:rsidP="006B57B2">
      <w:pPr>
        <w:jc w:val="both"/>
      </w:pPr>
      <w:r w:rsidRPr="006B57B2">
        <w:t>Diversos estudios han demostrado que promover una cultura de seguridad positiva mejora los resultados clínicos, aumenta la satisfacción de los profesionales y fortalece el trabajo en equipo. El objetivo de este estudio fue evaluar la percepción de la cultura de seguridad del paciente entre los profesionales de enfermería de un hospital e identificar las principales áreas de mejora.</w:t>
      </w:r>
    </w:p>
    <w:p w14:paraId="5F14DC23" w14:textId="77777777" w:rsidR="006B57B2" w:rsidRPr="006B57B2" w:rsidRDefault="006B57B2" w:rsidP="006B57B2">
      <w:pPr>
        <w:jc w:val="both"/>
        <w:rPr>
          <w:b/>
        </w:rPr>
      </w:pPr>
      <w:r w:rsidRPr="006B57B2">
        <w:rPr>
          <w:b/>
        </w:rPr>
        <w:t>Material y métodos</w:t>
      </w:r>
    </w:p>
    <w:p w14:paraId="3E4E254C" w14:textId="77777777" w:rsidR="006B57B2" w:rsidRPr="006B57B2" w:rsidRDefault="006B57B2" w:rsidP="006B57B2">
      <w:pPr>
        <w:jc w:val="both"/>
      </w:pPr>
      <w:r w:rsidRPr="006B57B2">
        <w:t>Se realizó un estudio observacional, descriptivo y transversal en un hospital general de segundo nivel. La población de estudio estuvo formada por profesionales de enfermería pertenecientes a las unidades de hospitalización, urgencias, cuidados intensivos, bloque quirúrgico y consultas externas.</w:t>
      </w:r>
    </w:p>
    <w:p w14:paraId="56F9B4BE" w14:textId="77777777" w:rsidR="006B57B2" w:rsidRPr="006B57B2" w:rsidRDefault="006B57B2" w:rsidP="006B57B2">
      <w:pPr>
        <w:jc w:val="both"/>
      </w:pPr>
      <w:r w:rsidRPr="006B57B2">
        <w:t>La recogida de datos se llevó a cabo mediante un cuestionario anónimo y voluntario que incluyó variables sociodemográficas (edad, sexo, experiencia profesional y unidad de trabajo), además de un instrumento validado para evaluar la cultura de seguridad del paciente, valorando dimensiones como trabajo en equipo, comunicación, apoyo de la dirección, aprendizaje organizacional, notificación de incidentes y percepción global de la seguridad.</w:t>
      </w:r>
    </w:p>
    <w:p w14:paraId="4497B896" w14:textId="77777777" w:rsidR="006B57B2" w:rsidRPr="006B57B2" w:rsidRDefault="006B57B2" w:rsidP="006B57B2">
      <w:pPr>
        <w:jc w:val="both"/>
      </w:pPr>
      <w:r w:rsidRPr="006B57B2">
        <w:t>Los datos fueron analizados mediante estadística descriptiva. Las variables cuantitativas se expresaron como media y desviación estándar, mientras que las cualitativas se presentaron mediante frecuencias y porcentajes.</w:t>
      </w:r>
    </w:p>
    <w:p w14:paraId="0B912AFC" w14:textId="77777777" w:rsidR="006B57B2" w:rsidRPr="006B57B2" w:rsidRDefault="006B57B2" w:rsidP="006B57B2">
      <w:pPr>
        <w:jc w:val="both"/>
        <w:rPr>
          <w:b/>
        </w:rPr>
      </w:pPr>
      <w:r w:rsidRPr="006B57B2">
        <w:rPr>
          <w:b/>
        </w:rPr>
        <w:t>Resultados</w:t>
      </w:r>
    </w:p>
    <w:p w14:paraId="5B2ACCE1" w14:textId="77777777" w:rsidR="006B57B2" w:rsidRPr="006B57B2" w:rsidRDefault="006B57B2" w:rsidP="006B57B2">
      <w:pPr>
        <w:jc w:val="both"/>
      </w:pPr>
      <w:r w:rsidRPr="006B57B2">
        <w:lastRenderedPageBreak/>
        <w:t>Participaron 138 profesionales de enfermería, con una edad media de 41,9 ± 8,7 años y una experiencia profesional media de 15 años. El 82% fueron mujeres y el 18% hombres.</w:t>
      </w:r>
    </w:p>
    <w:p w14:paraId="1402AA95" w14:textId="77777777" w:rsidR="006B57B2" w:rsidRPr="006B57B2" w:rsidRDefault="006B57B2" w:rsidP="006B57B2">
      <w:pPr>
        <w:jc w:val="both"/>
      </w:pPr>
      <w:r w:rsidRPr="006B57B2">
        <w:t>El 86% de los participantes consideró que la seguridad del paciente constituía una prioridad dentro de su unidad. El trabajo en equipo obtuvo la puntuación media más elevada (4,2 sobre 5), seguido del compromiso de los profesionales con la calidad asistencial (4,1) y la colaboración entre compañeros (4,0).</w:t>
      </w:r>
    </w:p>
    <w:p w14:paraId="4556DD9C" w14:textId="77777777" w:rsidR="006B57B2" w:rsidRPr="006B57B2" w:rsidRDefault="006B57B2" w:rsidP="006B57B2">
      <w:pPr>
        <w:jc w:val="both"/>
      </w:pPr>
      <w:r w:rsidRPr="006B57B2">
        <w:t>Las dimensiones con menor valoración fueron la notificación de incidentes sin consecuencias para el paciente (3,2), la percepción de apoyo institucional tras un error (3,1) y la dotación de personal durante periodos de elevada carga asistencial (3,0).</w:t>
      </w:r>
    </w:p>
    <w:p w14:paraId="30808E74" w14:textId="77777777" w:rsidR="006B57B2" w:rsidRPr="006B57B2" w:rsidRDefault="006B57B2" w:rsidP="006B57B2">
      <w:pPr>
        <w:jc w:val="both"/>
      </w:pPr>
      <w:r w:rsidRPr="006B57B2">
        <w:t>El 67% de los encuestados manifestó haber comunicado al menos un incidente relacionado con la seguridad durante el último año. No obstante, el 42% expresó que aún existía cierto temor a las repercusiones derivadas de la notificación de errores, especialmente cuando estos podían asociarse a responsabilidades individuales.</w:t>
      </w:r>
    </w:p>
    <w:p w14:paraId="4EE5B761" w14:textId="77777777" w:rsidR="006B57B2" w:rsidRPr="006B57B2" w:rsidRDefault="006B57B2" w:rsidP="006B57B2">
      <w:pPr>
        <w:jc w:val="both"/>
      </w:pPr>
      <w:r w:rsidRPr="006B57B2">
        <w:t>Asimismo, el 79% consideró que la formación continuada en seguridad del paciente había contribuido a mejorar la identificación de riesgos y el cumplimiento de los protocolos asistenciales.</w:t>
      </w:r>
    </w:p>
    <w:p w14:paraId="5DB8E9C4" w14:textId="77777777" w:rsidR="006B57B2" w:rsidRPr="006B57B2" w:rsidRDefault="006B57B2" w:rsidP="006B57B2">
      <w:pPr>
        <w:jc w:val="both"/>
        <w:rPr>
          <w:b/>
        </w:rPr>
      </w:pPr>
      <w:r w:rsidRPr="006B57B2">
        <w:rPr>
          <w:b/>
        </w:rPr>
        <w:t>Conclusiones</w:t>
      </w:r>
    </w:p>
    <w:p w14:paraId="19ECE2C4" w14:textId="77777777" w:rsidR="006B57B2" w:rsidRPr="006B57B2" w:rsidRDefault="006B57B2" w:rsidP="006B57B2">
      <w:pPr>
        <w:jc w:val="both"/>
      </w:pPr>
      <w:r w:rsidRPr="006B57B2">
        <w:t>La percepción de la cultura de seguridad del paciente entre los profesionales de enfermería fue globalmente positiva, destacando el trabajo en equipo y el compromiso con la calidad asistencial como sus principales fortalezas. Sin embargo, persisten oportunidades de mejora relacionadas con la notificación de incidentes, el apoyo institucional y la gestión de la carga de trabajo.</w:t>
      </w:r>
    </w:p>
    <w:p w14:paraId="2FC43586" w14:textId="77777777" w:rsidR="006B57B2" w:rsidRPr="006B57B2" w:rsidRDefault="006B57B2" w:rsidP="006B57B2">
      <w:pPr>
        <w:jc w:val="both"/>
      </w:pPr>
      <w:r w:rsidRPr="006B57B2">
        <w:t>Resulta fundamental promover una cultura organizacional basada en el aprendizaje, la comunicación abierta y la mejora continua, donde la notificación de incidentes se entienda como una herramienta para prevenir errores y fortalecer la seguridad del paciente. La implantación de programas de formación periódica, el liderazgo participativo y el desarrollo de estrategias no punitivas pueden contribuir a consolidar una cultura de seguridad más sólida y mejorar la calidad de los cuidados de enfermería.</w:t>
      </w:r>
    </w:p>
    <w:p w14:paraId="154611A0" w14:textId="77777777" w:rsidR="006B57B2" w:rsidRPr="006B57B2" w:rsidRDefault="006B57B2" w:rsidP="006B57B2">
      <w:pPr>
        <w:jc w:val="both"/>
        <w:rPr>
          <w:b/>
        </w:rPr>
      </w:pPr>
      <w:r w:rsidRPr="006B57B2">
        <w:rPr>
          <w:b/>
        </w:rPr>
        <w:t>Bibliografía</w:t>
      </w:r>
    </w:p>
    <w:p w14:paraId="3C1EE697" w14:textId="77777777" w:rsidR="006B57B2" w:rsidRPr="006B57B2" w:rsidRDefault="006B57B2" w:rsidP="006B57B2">
      <w:pPr>
        <w:numPr>
          <w:ilvl w:val="0"/>
          <w:numId w:val="80"/>
        </w:numPr>
        <w:jc w:val="both"/>
      </w:pPr>
      <w:r w:rsidRPr="006B57B2">
        <w:t xml:space="preserve">Organización Mundial de la Salud. </w:t>
      </w:r>
      <w:r w:rsidRPr="006B57B2">
        <w:rPr>
          <w:i/>
          <w:lang w:val="en-GB"/>
        </w:rPr>
        <w:t>Global Patient Safety Action Plan 2021–2030</w:t>
      </w:r>
      <w:r w:rsidRPr="006B57B2">
        <w:rPr>
          <w:lang w:val="en-GB"/>
        </w:rPr>
        <w:t xml:space="preserve">. </w:t>
      </w:r>
      <w:r w:rsidRPr="006B57B2">
        <w:t>Ginebra: Organización Mundial de la Salud; 2021.</w:t>
      </w:r>
    </w:p>
    <w:p w14:paraId="088102EE" w14:textId="77777777" w:rsidR="006B57B2" w:rsidRPr="006B57B2" w:rsidRDefault="006B57B2" w:rsidP="006B57B2">
      <w:pPr>
        <w:numPr>
          <w:ilvl w:val="0"/>
          <w:numId w:val="80"/>
        </w:numPr>
        <w:jc w:val="both"/>
      </w:pPr>
      <w:r w:rsidRPr="006B57B2">
        <w:lastRenderedPageBreak/>
        <w:t xml:space="preserve">Agencia de Calidad del Sistema Nacional de Salud. </w:t>
      </w:r>
      <w:r w:rsidRPr="006B57B2">
        <w:rPr>
          <w:i/>
        </w:rPr>
        <w:t xml:space="preserve">Cuestionario sobre Seguridad del Paciente en los Hospitales (SOPS Hospital </w:t>
      </w:r>
      <w:proofErr w:type="spellStart"/>
      <w:r w:rsidRPr="006B57B2">
        <w:rPr>
          <w:i/>
        </w:rPr>
        <w:t>Survey</w:t>
      </w:r>
      <w:proofErr w:type="spellEnd"/>
      <w:r w:rsidRPr="006B57B2">
        <w:rPr>
          <w:i/>
        </w:rPr>
        <w:t>)</w:t>
      </w:r>
      <w:r w:rsidRPr="006B57B2">
        <w:t>. Madrid: Ministerio de Sanidad.</w:t>
      </w:r>
    </w:p>
    <w:p w14:paraId="585A104B" w14:textId="77777777" w:rsidR="006B57B2" w:rsidRPr="006B57B2" w:rsidRDefault="006B57B2" w:rsidP="006B57B2">
      <w:pPr>
        <w:numPr>
          <w:ilvl w:val="0"/>
          <w:numId w:val="80"/>
        </w:numPr>
        <w:jc w:val="both"/>
        <w:rPr>
          <w:lang w:val="en-GB"/>
        </w:rPr>
      </w:pPr>
      <w:proofErr w:type="spellStart"/>
      <w:r w:rsidRPr="006B57B2">
        <w:rPr>
          <w:lang w:val="en-GB"/>
        </w:rPr>
        <w:t>Sorra</w:t>
      </w:r>
      <w:proofErr w:type="spellEnd"/>
      <w:r w:rsidRPr="006B57B2">
        <w:rPr>
          <w:lang w:val="en-GB"/>
        </w:rPr>
        <w:t xml:space="preserve"> J, Nieva V. </w:t>
      </w:r>
      <w:r w:rsidRPr="006B57B2">
        <w:rPr>
          <w:i/>
          <w:lang w:val="en-GB"/>
        </w:rPr>
        <w:t>Hospital Survey on Patient Safety Culture</w:t>
      </w:r>
      <w:r w:rsidRPr="006B57B2">
        <w:rPr>
          <w:lang w:val="en-GB"/>
        </w:rPr>
        <w:t>. Rockville, MD: Agency for Healthcare Research and Quality; 2004.</w:t>
      </w:r>
    </w:p>
    <w:p w14:paraId="122FF10E" w14:textId="77777777" w:rsidR="006B57B2" w:rsidRPr="006B57B2" w:rsidRDefault="006B57B2" w:rsidP="006B57B2">
      <w:pPr>
        <w:numPr>
          <w:ilvl w:val="0"/>
          <w:numId w:val="80"/>
        </w:numPr>
        <w:jc w:val="both"/>
      </w:pPr>
      <w:r w:rsidRPr="006B57B2">
        <w:rPr>
          <w:lang w:val="en-GB"/>
        </w:rPr>
        <w:t xml:space="preserve">Agency for Healthcare Research and Quality. </w:t>
      </w:r>
      <w:r w:rsidRPr="006B57B2">
        <w:rPr>
          <w:i/>
          <w:lang w:val="en-GB"/>
        </w:rPr>
        <w:t>Surveys on Patient Safety Culture: Hospital Survey Version 2.0</w:t>
      </w:r>
      <w:r w:rsidRPr="006B57B2">
        <w:rPr>
          <w:lang w:val="en-GB"/>
        </w:rPr>
        <w:t xml:space="preserve">. </w:t>
      </w:r>
      <w:r w:rsidRPr="006B57B2">
        <w:t>Rockville, MD: AHRQ; 2021.</w:t>
      </w:r>
    </w:p>
    <w:p w14:paraId="543F5776" w14:textId="77777777" w:rsidR="006B57B2" w:rsidRPr="006B57B2" w:rsidRDefault="006B57B2" w:rsidP="006B57B2">
      <w:pPr>
        <w:numPr>
          <w:ilvl w:val="0"/>
          <w:numId w:val="80"/>
        </w:numPr>
        <w:jc w:val="both"/>
      </w:pPr>
      <w:r w:rsidRPr="006B57B2">
        <w:rPr>
          <w:lang w:val="en-GB"/>
        </w:rPr>
        <w:t xml:space="preserve">Sammer CE, Lykens K, Singh KP, Mains DA, </w:t>
      </w:r>
      <w:proofErr w:type="spellStart"/>
      <w:r w:rsidRPr="006B57B2">
        <w:rPr>
          <w:lang w:val="en-GB"/>
        </w:rPr>
        <w:t>Lackan</w:t>
      </w:r>
      <w:proofErr w:type="spellEnd"/>
      <w:r w:rsidRPr="006B57B2">
        <w:rPr>
          <w:lang w:val="en-GB"/>
        </w:rPr>
        <w:t xml:space="preserve"> NA. What is patient safety culture? </w:t>
      </w:r>
      <w:r w:rsidRPr="006B57B2">
        <w:t xml:space="preserve">A </w:t>
      </w:r>
      <w:proofErr w:type="spellStart"/>
      <w:r w:rsidRPr="006B57B2">
        <w:t>review</w:t>
      </w:r>
      <w:proofErr w:type="spellEnd"/>
      <w:r w:rsidRPr="006B57B2">
        <w:t xml:space="preserve"> </w:t>
      </w:r>
      <w:proofErr w:type="spellStart"/>
      <w:r w:rsidRPr="006B57B2">
        <w:t>of</w:t>
      </w:r>
      <w:proofErr w:type="spellEnd"/>
      <w:r w:rsidRPr="006B57B2">
        <w:t xml:space="preserve"> </w:t>
      </w:r>
      <w:proofErr w:type="spellStart"/>
      <w:r w:rsidRPr="006B57B2">
        <w:t>the</w:t>
      </w:r>
      <w:proofErr w:type="spellEnd"/>
      <w:r w:rsidRPr="006B57B2">
        <w:t xml:space="preserve"> </w:t>
      </w:r>
      <w:proofErr w:type="spellStart"/>
      <w:r w:rsidRPr="006B57B2">
        <w:t>literature</w:t>
      </w:r>
      <w:proofErr w:type="spellEnd"/>
      <w:r w:rsidRPr="006B57B2">
        <w:t xml:space="preserve">. </w:t>
      </w:r>
      <w:proofErr w:type="spellStart"/>
      <w:r w:rsidRPr="006B57B2">
        <w:rPr>
          <w:i/>
        </w:rPr>
        <w:t>Journal</w:t>
      </w:r>
      <w:proofErr w:type="spellEnd"/>
      <w:r w:rsidRPr="006B57B2">
        <w:rPr>
          <w:i/>
        </w:rPr>
        <w:t xml:space="preserve"> </w:t>
      </w:r>
      <w:proofErr w:type="spellStart"/>
      <w:r w:rsidRPr="006B57B2">
        <w:rPr>
          <w:i/>
        </w:rPr>
        <w:t>of</w:t>
      </w:r>
      <w:proofErr w:type="spellEnd"/>
      <w:r w:rsidRPr="006B57B2">
        <w:rPr>
          <w:i/>
        </w:rPr>
        <w:t xml:space="preserve"> </w:t>
      </w:r>
      <w:proofErr w:type="spellStart"/>
      <w:r w:rsidRPr="006B57B2">
        <w:rPr>
          <w:i/>
        </w:rPr>
        <w:t>Nursing</w:t>
      </w:r>
      <w:proofErr w:type="spellEnd"/>
      <w:r w:rsidRPr="006B57B2">
        <w:rPr>
          <w:i/>
        </w:rPr>
        <w:t xml:space="preserve"> </w:t>
      </w:r>
      <w:proofErr w:type="spellStart"/>
      <w:r w:rsidRPr="006B57B2">
        <w:rPr>
          <w:i/>
        </w:rPr>
        <w:t>Scholarship</w:t>
      </w:r>
      <w:proofErr w:type="spellEnd"/>
      <w:r w:rsidRPr="006B57B2">
        <w:t>. 2010;42(2):156-165.</w:t>
      </w:r>
    </w:p>
    <w:p w14:paraId="69E7D204" w14:textId="77777777" w:rsidR="00114855" w:rsidRDefault="00114855" w:rsidP="000E46B3">
      <w:pPr>
        <w:jc w:val="both"/>
      </w:pPr>
    </w:p>
    <w:p w14:paraId="583AAD10" w14:textId="77777777" w:rsidR="006B57B2" w:rsidRDefault="006B57B2" w:rsidP="000E46B3">
      <w:pPr>
        <w:jc w:val="both"/>
      </w:pPr>
    </w:p>
    <w:p w14:paraId="5FABFB21" w14:textId="77777777" w:rsidR="006B57B2" w:rsidRDefault="006B57B2" w:rsidP="000E46B3">
      <w:pPr>
        <w:jc w:val="both"/>
      </w:pPr>
    </w:p>
    <w:p w14:paraId="723E901D" w14:textId="77777777" w:rsidR="006B57B2" w:rsidRDefault="006B57B2" w:rsidP="000E46B3">
      <w:pPr>
        <w:jc w:val="both"/>
      </w:pPr>
    </w:p>
    <w:p w14:paraId="54884857" w14:textId="77777777" w:rsidR="006B57B2" w:rsidRDefault="006B57B2" w:rsidP="000E46B3">
      <w:pPr>
        <w:jc w:val="both"/>
      </w:pPr>
    </w:p>
    <w:p w14:paraId="0184ED64" w14:textId="77777777" w:rsidR="006B57B2" w:rsidRDefault="006B57B2" w:rsidP="000E46B3">
      <w:pPr>
        <w:jc w:val="both"/>
      </w:pPr>
    </w:p>
    <w:p w14:paraId="34805B8F" w14:textId="77777777" w:rsidR="006B57B2" w:rsidRDefault="006B57B2" w:rsidP="000E46B3">
      <w:pPr>
        <w:jc w:val="both"/>
      </w:pPr>
    </w:p>
    <w:p w14:paraId="6AA9FCE2" w14:textId="77777777" w:rsidR="006B57B2" w:rsidRDefault="006B57B2" w:rsidP="000E46B3">
      <w:pPr>
        <w:jc w:val="both"/>
      </w:pPr>
    </w:p>
    <w:p w14:paraId="33033F18" w14:textId="77777777" w:rsidR="006B57B2" w:rsidRDefault="006B57B2" w:rsidP="000E46B3">
      <w:pPr>
        <w:jc w:val="both"/>
      </w:pPr>
    </w:p>
    <w:p w14:paraId="548D26D4" w14:textId="77777777" w:rsidR="006B57B2" w:rsidRDefault="006B57B2" w:rsidP="000E46B3">
      <w:pPr>
        <w:jc w:val="both"/>
      </w:pPr>
    </w:p>
    <w:p w14:paraId="0C8C95AA" w14:textId="77777777" w:rsidR="006B57B2" w:rsidRDefault="006B57B2" w:rsidP="000E46B3">
      <w:pPr>
        <w:jc w:val="both"/>
      </w:pPr>
    </w:p>
    <w:p w14:paraId="723DA2E1" w14:textId="77777777" w:rsidR="006B57B2" w:rsidRDefault="006B57B2" w:rsidP="000E46B3">
      <w:pPr>
        <w:jc w:val="both"/>
      </w:pPr>
    </w:p>
    <w:p w14:paraId="7A65E6E6" w14:textId="77777777" w:rsidR="006B57B2" w:rsidRDefault="006B57B2" w:rsidP="000E46B3">
      <w:pPr>
        <w:jc w:val="both"/>
      </w:pPr>
    </w:p>
    <w:p w14:paraId="75C21691" w14:textId="77777777" w:rsidR="006B57B2" w:rsidRDefault="006B57B2" w:rsidP="000E46B3">
      <w:pPr>
        <w:jc w:val="both"/>
      </w:pPr>
    </w:p>
    <w:p w14:paraId="4903764F" w14:textId="77777777" w:rsidR="006B57B2" w:rsidRDefault="006B57B2" w:rsidP="000E46B3">
      <w:pPr>
        <w:jc w:val="both"/>
      </w:pPr>
    </w:p>
    <w:p w14:paraId="0917B56C" w14:textId="77777777" w:rsidR="006B57B2" w:rsidRDefault="006B57B2" w:rsidP="000E46B3">
      <w:pPr>
        <w:jc w:val="both"/>
      </w:pPr>
    </w:p>
    <w:p w14:paraId="6B84C4E7" w14:textId="77777777" w:rsidR="006B57B2" w:rsidRDefault="006B57B2" w:rsidP="000E46B3">
      <w:pPr>
        <w:jc w:val="both"/>
      </w:pPr>
    </w:p>
    <w:p w14:paraId="3514EB6E" w14:textId="77777777" w:rsidR="006B57B2" w:rsidRDefault="006B57B2" w:rsidP="000E46B3">
      <w:pPr>
        <w:jc w:val="both"/>
      </w:pPr>
    </w:p>
    <w:p w14:paraId="3FF03597" w14:textId="77777777" w:rsidR="006B57B2" w:rsidRDefault="006B57B2" w:rsidP="000E46B3">
      <w:pPr>
        <w:jc w:val="both"/>
      </w:pPr>
    </w:p>
    <w:p w14:paraId="4F773DA1" w14:textId="77777777" w:rsidR="006B57B2" w:rsidRDefault="006B57B2" w:rsidP="000E46B3">
      <w:pPr>
        <w:jc w:val="both"/>
      </w:pPr>
    </w:p>
    <w:p w14:paraId="6C8DE387" w14:textId="77777777" w:rsidR="00A9772F" w:rsidRPr="00A9772F" w:rsidRDefault="00A9772F" w:rsidP="00A9772F">
      <w:pPr>
        <w:jc w:val="both"/>
      </w:pPr>
      <w:r w:rsidRPr="00A9772F">
        <w:rPr>
          <w:b/>
        </w:rPr>
        <w:lastRenderedPageBreak/>
        <w:t>FATIGA POR COMPASIÓN EN ENFERMERAS DE UNIDADES DE CUIDADOS INTENSIVOS</w:t>
      </w:r>
    </w:p>
    <w:p w14:paraId="1A5E98C6" w14:textId="77777777" w:rsidR="00A9772F" w:rsidRPr="00A9772F" w:rsidRDefault="00A9772F" w:rsidP="00A9772F">
      <w:pPr>
        <w:jc w:val="both"/>
        <w:rPr>
          <w:b/>
        </w:rPr>
      </w:pPr>
      <w:r w:rsidRPr="00A9772F">
        <w:rPr>
          <w:b/>
        </w:rPr>
        <w:t>Introducción</w:t>
      </w:r>
    </w:p>
    <w:p w14:paraId="3A17989B" w14:textId="77777777" w:rsidR="00A9772F" w:rsidRPr="00A9772F" w:rsidRDefault="00A9772F" w:rsidP="00A9772F">
      <w:pPr>
        <w:jc w:val="both"/>
      </w:pPr>
      <w:r w:rsidRPr="00A9772F">
        <w:t>La fatiga por compasión es un estado de agotamiento físico, emocional y psicológico que puede desarrollarse en los profesionales que prestan cuidados continuos a personas que sufren enfermedades graves, dolor o situaciones de elevada vulnerabilidad. En el ámbito hospitalario, las enfermeras de las unidades de cuidados intensivos (UCI) constituyen uno de los colectivos con mayor riesgo de desarrollar este fenómeno debido a la elevada complejidad asistencial, la exposición frecuente a situaciones críticas y la necesidad de proporcionar apoyo constante a pacientes y familiares.</w:t>
      </w:r>
    </w:p>
    <w:p w14:paraId="36464063" w14:textId="77777777" w:rsidR="00A9772F" w:rsidRPr="00A9772F" w:rsidRDefault="00A9772F" w:rsidP="00A9772F">
      <w:pPr>
        <w:jc w:val="both"/>
      </w:pPr>
      <w:r w:rsidRPr="00A9772F">
        <w:t>La fatiga por compasión comparte algunas características con el síndrome de desgaste profesional (</w:t>
      </w:r>
      <w:r w:rsidRPr="00A9772F">
        <w:rPr>
          <w:i/>
        </w:rPr>
        <w:t>burnout</w:t>
      </w:r>
      <w:r w:rsidRPr="00A9772F">
        <w:t>), aunque se diferencia por estar relacionada principalmente con el impacto emocional derivado del cuidado de personas que experimentan sufrimiento. Sus consecuencias pueden incluir disminución de la satisfacción laboral, alteraciones emocionales, reducción de la calidad de los cuidados, incremento del absentismo y mayor intención de abandonar el puesto de trabajo.</w:t>
      </w:r>
    </w:p>
    <w:p w14:paraId="4020D3C8" w14:textId="77777777" w:rsidR="00A9772F" w:rsidRPr="00A9772F" w:rsidRDefault="00A9772F" w:rsidP="00A9772F">
      <w:pPr>
        <w:jc w:val="both"/>
      </w:pPr>
      <w:r w:rsidRPr="00A9772F">
        <w:t>La identificación precoz de este problema resulta fundamental para implementar estrategias preventivas orientadas al bienestar de los profesionales y a la mejora de la calidad asistencial. El objetivo de este estudio fue evaluar la presencia de fatiga por compasión en enfermeras de una unidad de cuidados intensivos e identificar los factores asociados a su desarrollo.</w:t>
      </w:r>
    </w:p>
    <w:p w14:paraId="466973E0" w14:textId="77777777" w:rsidR="00A9772F" w:rsidRPr="00A9772F" w:rsidRDefault="00A9772F" w:rsidP="00A9772F">
      <w:pPr>
        <w:jc w:val="both"/>
        <w:rPr>
          <w:b/>
        </w:rPr>
      </w:pPr>
      <w:r w:rsidRPr="00A9772F">
        <w:rPr>
          <w:b/>
        </w:rPr>
        <w:t>Material y métodos</w:t>
      </w:r>
    </w:p>
    <w:p w14:paraId="568F3882" w14:textId="77777777" w:rsidR="00A9772F" w:rsidRPr="00A9772F" w:rsidRDefault="00A9772F" w:rsidP="00A9772F">
      <w:pPr>
        <w:jc w:val="both"/>
      </w:pPr>
      <w:r w:rsidRPr="00A9772F">
        <w:t>Se realizó un estudio observacional, descriptivo y transversal en la unidad de cuidados intensivos de un hospital general de segundo nivel. La población de estudio estuvo constituida por enfermeras con una antigüedad mínima de seis meses en la unidad.</w:t>
      </w:r>
    </w:p>
    <w:p w14:paraId="4F77AECA" w14:textId="77777777" w:rsidR="00A9772F" w:rsidRPr="00A9772F" w:rsidRDefault="00A9772F" w:rsidP="00A9772F">
      <w:pPr>
        <w:jc w:val="both"/>
      </w:pPr>
      <w:r w:rsidRPr="00A9772F">
        <w:t>La recogida de datos se efectuó mediante un cuestionario anónimo y voluntario que incluyó variables sociodemográficas (edad, sexo, experiencia profesional y años de trabajo en UCI), así como aspectos relacionados con la carga asistencial, el número de pacientes atendidos, el apoyo recibido por el equipo y la conciliación entre la vida laboral y personal. Para valorar la fatiga por compasión se utilizó una escala validada que evaluó agotamiento emocional, satisfacción por compasión y estrés traumático secundario.</w:t>
      </w:r>
    </w:p>
    <w:p w14:paraId="3D7953E0" w14:textId="77777777" w:rsidR="00A9772F" w:rsidRPr="00A9772F" w:rsidRDefault="00A9772F" w:rsidP="00A9772F">
      <w:pPr>
        <w:jc w:val="both"/>
      </w:pPr>
      <w:r w:rsidRPr="00A9772F">
        <w:lastRenderedPageBreak/>
        <w:t>Los datos fueron analizados mediante estadística descriptiva. Las variables cuantitativas se expresaron como media y desviación estándar, mientras que las cualitativas se presentaron mediante frecuencias y porcentajes.</w:t>
      </w:r>
    </w:p>
    <w:p w14:paraId="72937FB4" w14:textId="77777777" w:rsidR="00A9772F" w:rsidRPr="00A9772F" w:rsidRDefault="00A9772F" w:rsidP="00A9772F">
      <w:pPr>
        <w:jc w:val="both"/>
        <w:rPr>
          <w:b/>
        </w:rPr>
      </w:pPr>
      <w:r w:rsidRPr="00A9772F">
        <w:rPr>
          <w:b/>
        </w:rPr>
        <w:t>Resultados</w:t>
      </w:r>
    </w:p>
    <w:p w14:paraId="1F971999" w14:textId="77777777" w:rsidR="00A9772F" w:rsidRPr="00A9772F" w:rsidRDefault="00A9772F" w:rsidP="00A9772F">
      <w:pPr>
        <w:jc w:val="both"/>
      </w:pPr>
      <w:r w:rsidRPr="00A9772F">
        <w:t>Participaron 82 enfermeras, con una edad media de 39,8 ± 7,9 años y una experiencia profesional media de 14 años. El 84% fueron mujeres y el 16% hombres.</w:t>
      </w:r>
    </w:p>
    <w:p w14:paraId="02BDCA25" w14:textId="77777777" w:rsidR="00A9772F" w:rsidRPr="00A9772F" w:rsidRDefault="00A9772F" w:rsidP="00A9772F">
      <w:pPr>
        <w:jc w:val="both"/>
      </w:pPr>
      <w:r w:rsidRPr="00A9772F">
        <w:t>El 34% de las participantes presentó niveles elevados de fatiga por compasión, mientras que el 49% mostró niveles moderados. El agotamiento emocional fue la dimensión con mayor puntuación, especialmente entre las profesionales con mayor carga asistencial y aquellas que atendían con frecuencia a pacientes en situación crítica o al final de la vida.</w:t>
      </w:r>
    </w:p>
    <w:p w14:paraId="46008C76" w14:textId="77777777" w:rsidR="00A9772F" w:rsidRPr="00A9772F" w:rsidRDefault="00A9772F" w:rsidP="00A9772F">
      <w:pPr>
        <w:jc w:val="both"/>
      </w:pPr>
      <w:r w:rsidRPr="00A9772F">
        <w:t>Los principales factores asociados fueron la sobrecarga de trabajo (72%), la exposición continuada al sufrimiento y la muerte (65%), la falta de tiempo para la recuperación emocional (54%) y la percepción de insuficiente apoyo organizacional (43%).</w:t>
      </w:r>
    </w:p>
    <w:p w14:paraId="1E196C5B" w14:textId="77777777" w:rsidR="00A9772F" w:rsidRPr="00A9772F" w:rsidRDefault="00A9772F" w:rsidP="00A9772F">
      <w:pPr>
        <w:jc w:val="both"/>
      </w:pPr>
      <w:r w:rsidRPr="00A9772F">
        <w:t>Por otro lado, el 76% de las enfermeras manifestó una elevada satisfacción por el cuidado prestado, destacando el trabajo en equipo y el reconocimiento de los pacientes y sus familias como factores protectores frente al desgaste emocional.</w:t>
      </w:r>
    </w:p>
    <w:p w14:paraId="505E8F3D" w14:textId="77777777" w:rsidR="00A9772F" w:rsidRPr="00A9772F" w:rsidRDefault="00A9772F" w:rsidP="00A9772F">
      <w:pPr>
        <w:jc w:val="both"/>
        <w:rPr>
          <w:b/>
        </w:rPr>
      </w:pPr>
      <w:r w:rsidRPr="00A9772F">
        <w:rPr>
          <w:b/>
        </w:rPr>
        <w:t>Conclusiones</w:t>
      </w:r>
    </w:p>
    <w:p w14:paraId="56A9E921" w14:textId="77777777" w:rsidR="00A9772F" w:rsidRPr="00A9772F" w:rsidRDefault="00A9772F" w:rsidP="00A9772F">
      <w:pPr>
        <w:jc w:val="both"/>
      </w:pPr>
      <w:r w:rsidRPr="00A9772F">
        <w:t>La fatiga por compasión constituye un problema relevante entre las enfermeras de las unidades de cuidados intensivos y puede afectar tanto al bienestar de los profesionales como a la calidad de los cuidados proporcionados. La elevada carga asistencial y la exposición continuada a situaciones de sufrimiento representan los principales factores asociados a su aparición.</w:t>
      </w:r>
    </w:p>
    <w:p w14:paraId="4F618C40" w14:textId="77777777" w:rsidR="00A9772F" w:rsidRPr="00A9772F" w:rsidRDefault="00A9772F" w:rsidP="00A9772F">
      <w:pPr>
        <w:jc w:val="both"/>
      </w:pPr>
      <w:r w:rsidRPr="00A9772F">
        <w:t>La implantación de programas de apoyo emocional, formación en afrontamiento del estrés, promoción del autocuidado y espacios de reflexión dentro de los equipos asistenciales puede contribuir a disminuir el impacto de la fatiga por compasión. Asimismo, resulta recomendable reforzar las estrategias de apoyo institucional y favorecer entornos laborales saludables que promuevan la resiliencia y el bienestar psicológico de los profesionales de enfermería. Futuras investigaciones multicéntricas permitirán profundizar en este fenómeno y evaluar la eficacia de las intervenciones preventivas.</w:t>
      </w:r>
    </w:p>
    <w:p w14:paraId="6C4E575A" w14:textId="77777777" w:rsidR="00A9772F" w:rsidRPr="00A9772F" w:rsidRDefault="00A9772F" w:rsidP="00A9772F">
      <w:pPr>
        <w:jc w:val="both"/>
        <w:rPr>
          <w:b/>
        </w:rPr>
      </w:pPr>
      <w:r w:rsidRPr="00A9772F">
        <w:rPr>
          <w:b/>
        </w:rPr>
        <w:t>Bibliografía</w:t>
      </w:r>
    </w:p>
    <w:p w14:paraId="147A0B50" w14:textId="77777777" w:rsidR="00A9772F" w:rsidRPr="00A9772F" w:rsidRDefault="00A9772F" w:rsidP="00A9772F">
      <w:pPr>
        <w:numPr>
          <w:ilvl w:val="0"/>
          <w:numId w:val="81"/>
        </w:numPr>
        <w:jc w:val="both"/>
      </w:pPr>
      <w:r w:rsidRPr="00A9772F">
        <w:rPr>
          <w:lang w:val="en-GB"/>
        </w:rPr>
        <w:t xml:space="preserve">Figley CR. </w:t>
      </w:r>
      <w:r w:rsidRPr="00A9772F">
        <w:rPr>
          <w:i/>
          <w:lang w:val="en-GB"/>
        </w:rPr>
        <w:t xml:space="preserve">Compassion Fatigue: Coping </w:t>
      </w:r>
      <w:proofErr w:type="gramStart"/>
      <w:r w:rsidRPr="00A9772F">
        <w:rPr>
          <w:i/>
          <w:lang w:val="en-GB"/>
        </w:rPr>
        <w:t>With</w:t>
      </w:r>
      <w:proofErr w:type="gramEnd"/>
      <w:r w:rsidRPr="00A9772F">
        <w:rPr>
          <w:i/>
          <w:lang w:val="en-GB"/>
        </w:rPr>
        <w:t xml:space="preserve"> Secondary Traumatic Stress Disorder in Those Who Treat the Traumatized</w:t>
      </w:r>
      <w:r w:rsidRPr="00A9772F">
        <w:rPr>
          <w:lang w:val="en-GB"/>
        </w:rPr>
        <w:t xml:space="preserve">. </w:t>
      </w:r>
      <w:r w:rsidRPr="00A9772F">
        <w:t>New York: Brunner/Mazel; 1995.</w:t>
      </w:r>
    </w:p>
    <w:p w14:paraId="2910BA08" w14:textId="77777777" w:rsidR="00A9772F" w:rsidRPr="00A9772F" w:rsidRDefault="00A9772F" w:rsidP="00A9772F">
      <w:pPr>
        <w:numPr>
          <w:ilvl w:val="0"/>
          <w:numId w:val="81"/>
        </w:numPr>
        <w:jc w:val="both"/>
        <w:rPr>
          <w:lang w:val="en-GB"/>
        </w:rPr>
      </w:pPr>
      <w:r w:rsidRPr="00A9772F">
        <w:rPr>
          <w:lang w:val="en-GB"/>
        </w:rPr>
        <w:lastRenderedPageBreak/>
        <w:t xml:space="preserve">Stamm BH. </w:t>
      </w:r>
      <w:r w:rsidRPr="00A9772F">
        <w:rPr>
          <w:i/>
          <w:lang w:val="en-GB"/>
        </w:rPr>
        <w:t xml:space="preserve">The Concise </w:t>
      </w:r>
      <w:proofErr w:type="spellStart"/>
      <w:r w:rsidRPr="00A9772F">
        <w:rPr>
          <w:i/>
          <w:lang w:val="en-GB"/>
        </w:rPr>
        <w:t>ProQOL</w:t>
      </w:r>
      <w:proofErr w:type="spellEnd"/>
      <w:r w:rsidRPr="00A9772F">
        <w:rPr>
          <w:i/>
          <w:lang w:val="en-GB"/>
        </w:rPr>
        <w:t xml:space="preserve"> Manual</w:t>
      </w:r>
      <w:r w:rsidRPr="00A9772F">
        <w:rPr>
          <w:lang w:val="en-GB"/>
        </w:rPr>
        <w:t>. 2nd ed. Pocatello, ID: ProQOL.org; 2010.</w:t>
      </w:r>
    </w:p>
    <w:p w14:paraId="01BD80B4" w14:textId="77777777" w:rsidR="00A9772F" w:rsidRPr="00A9772F" w:rsidRDefault="00A9772F" w:rsidP="00A9772F">
      <w:pPr>
        <w:numPr>
          <w:ilvl w:val="0"/>
          <w:numId w:val="81"/>
        </w:numPr>
        <w:jc w:val="both"/>
      </w:pPr>
      <w:r w:rsidRPr="00A9772F">
        <w:rPr>
          <w:lang w:val="en-GB"/>
        </w:rPr>
        <w:t xml:space="preserve">World Health Organization. </w:t>
      </w:r>
      <w:r w:rsidRPr="00A9772F">
        <w:rPr>
          <w:i/>
          <w:lang w:val="en-GB"/>
        </w:rPr>
        <w:t>Mental health at work</w:t>
      </w:r>
      <w:r w:rsidRPr="00A9772F">
        <w:rPr>
          <w:lang w:val="en-GB"/>
        </w:rPr>
        <w:t xml:space="preserve">. </w:t>
      </w:r>
      <w:r w:rsidRPr="00A9772F">
        <w:t>Ginebra: Organización Mundial de la Salud; 2022.</w:t>
      </w:r>
    </w:p>
    <w:p w14:paraId="5DFF2AEB" w14:textId="77777777" w:rsidR="00A9772F" w:rsidRPr="00A9772F" w:rsidRDefault="00A9772F" w:rsidP="00A9772F">
      <w:pPr>
        <w:numPr>
          <w:ilvl w:val="0"/>
          <w:numId w:val="81"/>
        </w:numPr>
        <w:jc w:val="both"/>
      </w:pPr>
      <w:r w:rsidRPr="00A9772F">
        <w:rPr>
          <w:lang w:val="en-GB"/>
        </w:rPr>
        <w:t xml:space="preserve">Meadors P, Lamson A. Compassion fatigue and secondary traumatization: provider selfcare on intensive care units. </w:t>
      </w:r>
      <w:proofErr w:type="spellStart"/>
      <w:r w:rsidRPr="00A9772F">
        <w:rPr>
          <w:i/>
        </w:rPr>
        <w:t>Journal</w:t>
      </w:r>
      <w:proofErr w:type="spellEnd"/>
      <w:r w:rsidRPr="00A9772F">
        <w:rPr>
          <w:i/>
        </w:rPr>
        <w:t xml:space="preserve"> </w:t>
      </w:r>
      <w:proofErr w:type="spellStart"/>
      <w:r w:rsidRPr="00A9772F">
        <w:rPr>
          <w:i/>
        </w:rPr>
        <w:t>of</w:t>
      </w:r>
      <w:proofErr w:type="spellEnd"/>
      <w:r w:rsidRPr="00A9772F">
        <w:rPr>
          <w:i/>
        </w:rPr>
        <w:t xml:space="preserve"> </w:t>
      </w:r>
      <w:proofErr w:type="spellStart"/>
      <w:r w:rsidRPr="00A9772F">
        <w:rPr>
          <w:i/>
        </w:rPr>
        <w:t>Nursing</w:t>
      </w:r>
      <w:proofErr w:type="spellEnd"/>
      <w:r w:rsidRPr="00A9772F">
        <w:rPr>
          <w:i/>
        </w:rPr>
        <w:t xml:space="preserve"> </w:t>
      </w:r>
      <w:proofErr w:type="spellStart"/>
      <w:r w:rsidRPr="00A9772F">
        <w:rPr>
          <w:i/>
        </w:rPr>
        <w:t>Administration</w:t>
      </w:r>
      <w:proofErr w:type="spellEnd"/>
      <w:r w:rsidRPr="00A9772F">
        <w:t>. 2008;38(9):386-389.</w:t>
      </w:r>
    </w:p>
    <w:p w14:paraId="211E55B0" w14:textId="77777777" w:rsidR="00A9772F" w:rsidRPr="00A9772F" w:rsidRDefault="00A9772F" w:rsidP="00A9772F">
      <w:pPr>
        <w:numPr>
          <w:ilvl w:val="0"/>
          <w:numId w:val="81"/>
        </w:numPr>
        <w:jc w:val="both"/>
        <w:rPr>
          <w:lang w:val="en-GB"/>
        </w:rPr>
      </w:pPr>
      <w:r w:rsidRPr="00A9772F">
        <w:rPr>
          <w:lang w:val="en-GB"/>
        </w:rPr>
        <w:t xml:space="preserve">Hunsaker S, Chen HC, Maughan D, Heaston S. Factors that influence the development of compassion fatigue, burnout and compassion satisfaction in emergency department nurses. </w:t>
      </w:r>
    </w:p>
    <w:p w14:paraId="23CA0307" w14:textId="77777777" w:rsidR="00A9772F" w:rsidRPr="00A9772F" w:rsidRDefault="00A9772F" w:rsidP="00A9772F">
      <w:pPr>
        <w:jc w:val="both"/>
      </w:pPr>
      <w:proofErr w:type="spellStart"/>
      <w:r w:rsidRPr="00A9772F">
        <w:rPr>
          <w:i/>
        </w:rPr>
        <w:t>Journal</w:t>
      </w:r>
      <w:proofErr w:type="spellEnd"/>
      <w:r w:rsidRPr="00A9772F">
        <w:rPr>
          <w:i/>
        </w:rPr>
        <w:t xml:space="preserve"> </w:t>
      </w:r>
      <w:proofErr w:type="spellStart"/>
      <w:r w:rsidRPr="00A9772F">
        <w:rPr>
          <w:i/>
        </w:rPr>
        <w:t>of</w:t>
      </w:r>
      <w:proofErr w:type="spellEnd"/>
      <w:r w:rsidRPr="00A9772F">
        <w:rPr>
          <w:i/>
        </w:rPr>
        <w:t xml:space="preserve"> </w:t>
      </w:r>
      <w:proofErr w:type="spellStart"/>
      <w:r w:rsidRPr="00A9772F">
        <w:rPr>
          <w:i/>
        </w:rPr>
        <w:t>Nursing</w:t>
      </w:r>
      <w:proofErr w:type="spellEnd"/>
      <w:r w:rsidRPr="00A9772F">
        <w:rPr>
          <w:i/>
        </w:rPr>
        <w:t xml:space="preserve"> </w:t>
      </w:r>
      <w:proofErr w:type="spellStart"/>
      <w:r w:rsidRPr="00A9772F">
        <w:rPr>
          <w:i/>
        </w:rPr>
        <w:t>Scholarship</w:t>
      </w:r>
      <w:proofErr w:type="spellEnd"/>
      <w:r w:rsidRPr="00A9772F">
        <w:t>. 2015;47(2):186-194.</w:t>
      </w:r>
    </w:p>
    <w:p w14:paraId="674E7C87" w14:textId="77777777" w:rsidR="006B57B2" w:rsidRDefault="006B57B2" w:rsidP="000E46B3">
      <w:pPr>
        <w:jc w:val="both"/>
      </w:pPr>
    </w:p>
    <w:p w14:paraId="1E869AFE" w14:textId="77777777" w:rsidR="00A9772F" w:rsidRDefault="00A9772F" w:rsidP="000E46B3">
      <w:pPr>
        <w:jc w:val="both"/>
      </w:pPr>
    </w:p>
    <w:p w14:paraId="46FDE99B" w14:textId="77777777" w:rsidR="00A9772F" w:rsidRDefault="00A9772F" w:rsidP="000E46B3">
      <w:pPr>
        <w:jc w:val="both"/>
      </w:pPr>
    </w:p>
    <w:p w14:paraId="5C1C31C0" w14:textId="77777777" w:rsidR="00A9772F" w:rsidRDefault="00A9772F" w:rsidP="000E46B3">
      <w:pPr>
        <w:jc w:val="both"/>
      </w:pPr>
    </w:p>
    <w:p w14:paraId="5A7BD3E3" w14:textId="77777777" w:rsidR="00A9772F" w:rsidRDefault="00A9772F" w:rsidP="000E46B3">
      <w:pPr>
        <w:jc w:val="both"/>
      </w:pPr>
    </w:p>
    <w:p w14:paraId="5243DC52" w14:textId="77777777" w:rsidR="00A9772F" w:rsidRDefault="00A9772F" w:rsidP="000E46B3">
      <w:pPr>
        <w:jc w:val="both"/>
      </w:pPr>
    </w:p>
    <w:p w14:paraId="01943787" w14:textId="77777777" w:rsidR="00A9772F" w:rsidRDefault="00A9772F" w:rsidP="000E46B3">
      <w:pPr>
        <w:jc w:val="both"/>
      </w:pPr>
    </w:p>
    <w:p w14:paraId="0DC9D4F5" w14:textId="77777777" w:rsidR="00A9772F" w:rsidRDefault="00A9772F" w:rsidP="000E46B3">
      <w:pPr>
        <w:jc w:val="both"/>
      </w:pPr>
    </w:p>
    <w:p w14:paraId="529AC87D" w14:textId="77777777" w:rsidR="00A9772F" w:rsidRDefault="00A9772F" w:rsidP="000E46B3">
      <w:pPr>
        <w:jc w:val="both"/>
      </w:pPr>
    </w:p>
    <w:p w14:paraId="005C50B3" w14:textId="77777777" w:rsidR="00A9772F" w:rsidRDefault="00A9772F" w:rsidP="000E46B3">
      <w:pPr>
        <w:jc w:val="both"/>
      </w:pPr>
    </w:p>
    <w:p w14:paraId="746975DD" w14:textId="77777777" w:rsidR="00A9772F" w:rsidRDefault="00A9772F" w:rsidP="000E46B3">
      <w:pPr>
        <w:jc w:val="both"/>
      </w:pPr>
    </w:p>
    <w:p w14:paraId="5F1DE031" w14:textId="77777777" w:rsidR="00A9772F" w:rsidRDefault="00A9772F" w:rsidP="000E46B3">
      <w:pPr>
        <w:jc w:val="both"/>
      </w:pPr>
    </w:p>
    <w:p w14:paraId="506791CA" w14:textId="77777777" w:rsidR="00A9772F" w:rsidRDefault="00A9772F" w:rsidP="000E46B3">
      <w:pPr>
        <w:jc w:val="both"/>
      </w:pPr>
    </w:p>
    <w:p w14:paraId="26DCD6B3" w14:textId="77777777" w:rsidR="00A9772F" w:rsidRDefault="00A9772F" w:rsidP="000E46B3">
      <w:pPr>
        <w:jc w:val="both"/>
      </w:pPr>
    </w:p>
    <w:p w14:paraId="1128D35A" w14:textId="77777777" w:rsidR="00A9772F" w:rsidRDefault="00A9772F" w:rsidP="000E46B3">
      <w:pPr>
        <w:jc w:val="both"/>
      </w:pPr>
    </w:p>
    <w:p w14:paraId="6312530F" w14:textId="77777777" w:rsidR="00A9772F" w:rsidRDefault="00A9772F" w:rsidP="000E46B3">
      <w:pPr>
        <w:jc w:val="both"/>
      </w:pPr>
    </w:p>
    <w:p w14:paraId="6C1C3B3B" w14:textId="77777777" w:rsidR="00A9772F" w:rsidRDefault="00A9772F" w:rsidP="000E46B3">
      <w:pPr>
        <w:jc w:val="both"/>
      </w:pPr>
    </w:p>
    <w:p w14:paraId="6E4791EE" w14:textId="77777777" w:rsidR="00A9772F" w:rsidRDefault="00A9772F" w:rsidP="000E46B3">
      <w:pPr>
        <w:jc w:val="both"/>
      </w:pPr>
    </w:p>
    <w:p w14:paraId="4B93BD06" w14:textId="77777777" w:rsidR="00A9772F" w:rsidRDefault="00A9772F" w:rsidP="000E46B3">
      <w:pPr>
        <w:jc w:val="both"/>
      </w:pPr>
    </w:p>
    <w:p w14:paraId="1D83D61D" w14:textId="77777777" w:rsidR="00CE10A9" w:rsidRPr="00CE10A9" w:rsidRDefault="00CE10A9" w:rsidP="00CE10A9">
      <w:pPr>
        <w:jc w:val="both"/>
      </w:pPr>
      <w:r w:rsidRPr="00CE10A9">
        <w:rPr>
          <w:b/>
        </w:rPr>
        <w:lastRenderedPageBreak/>
        <w:t>INTERVENCIONES DE ENFERMERÍA PARA MEJORAR EL AUTOCONTROL DE LA HIPERTENSIÓN ARTERIAL</w:t>
      </w:r>
    </w:p>
    <w:p w14:paraId="65B9DD1E" w14:textId="77777777" w:rsidR="00CE10A9" w:rsidRPr="00CE10A9" w:rsidRDefault="00CE10A9" w:rsidP="00CE10A9">
      <w:pPr>
        <w:jc w:val="both"/>
        <w:rPr>
          <w:b/>
        </w:rPr>
      </w:pPr>
      <w:r w:rsidRPr="00CE10A9">
        <w:rPr>
          <w:b/>
        </w:rPr>
        <w:t>Introducción</w:t>
      </w:r>
    </w:p>
    <w:p w14:paraId="2664A5C9" w14:textId="77777777" w:rsidR="00CE10A9" w:rsidRPr="00CE10A9" w:rsidRDefault="00CE10A9" w:rsidP="00CE10A9">
      <w:pPr>
        <w:jc w:val="both"/>
      </w:pPr>
      <w:r w:rsidRPr="00CE10A9">
        <w:t xml:space="preserve">La hipertensión arterial es una de las enfermedades crónicas más prevalentes a nivel mundial y constituye un importante factor de riesgo para el desarrollo de enfermedad cardiovascular, ictus, insuficiencia renal y otras complicaciones de elevada morbimortalidad. Su adecuado control depende no solo del tratamiento farmacológico, sino también de la adopción de hábitos de vida saludables y de la </w:t>
      </w:r>
      <w:proofErr w:type="gramStart"/>
      <w:r w:rsidRPr="00CE10A9">
        <w:t>participación activa</w:t>
      </w:r>
      <w:proofErr w:type="gramEnd"/>
      <w:r w:rsidRPr="00CE10A9">
        <w:t xml:space="preserve"> del paciente en el manejo de su enfermedad.</w:t>
      </w:r>
    </w:p>
    <w:p w14:paraId="7E38DA58" w14:textId="77777777" w:rsidR="00CE10A9" w:rsidRPr="00CE10A9" w:rsidRDefault="00CE10A9" w:rsidP="00CE10A9">
      <w:pPr>
        <w:jc w:val="both"/>
      </w:pPr>
      <w:r w:rsidRPr="00CE10A9">
        <w:t xml:space="preserve">Los profesionales de enfermería desempeñan un papel fundamental en la educación sanitaria, el seguimiento clínico y el fomento del autocuidado en pacientes con hipertensión arterial. Mediante intervenciones estructuradas, como el asesoramiento sobre alimentación, actividad física, adherencia terapéutica y </w:t>
      </w:r>
      <w:proofErr w:type="spellStart"/>
      <w:r w:rsidRPr="00CE10A9">
        <w:t>automedición</w:t>
      </w:r>
      <w:proofErr w:type="spellEnd"/>
      <w:r w:rsidRPr="00CE10A9">
        <w:t xml:space="preserve"> de la presión arterial, es posible mejorar el control de la enfermedad y reducir el riesgo de complicaciones. Además, la relación cercana entre enfermera y paciente favorece la identificación precoz de dificultades para el cumplimiento terapéutico y permite diseñar estrategias individualizadas.</w:t>
      </w:r>
    </w:p>
    <w:p w14:paraId="661D695D" w14:textId="77777777" w:rsidR="00CE10A9" w:rsidRPr="00CE10A9" w:rsidRDefault="00CE10A9" w:rsidP="00CE10A9">
      <w:pPr>
        <w:jc w:val="both"/>
      </w:pPr>
      <w:r w:rsidRPr="00CE10A9">
        <w:t>El objetivo de este estudio fue evaluar la efectividad de las intervenciones de enfermería dirigidas a mejorar el autocontrol de la hipertensión arterial en pacientes atendidos en consultas de atención hospitalaria.</w:t>
      </w:r>
    </w:p>
    <w:p w14:paraId="115FF752" w14:textId="77777777" w:rsidR="00CE10A9" w:rsidRPr="00CE10A9" w:rsidRDefault="00CE10A9" w:rsidP="00CE10A9">
      <w:pPr>
        <w:jc w:val="both"/>
        <w:rPr>
          <w:b/>
        </w:rPr>
      </w:pPr>
      <w:r w:rsidRPr="00CE10A9">
        <w:rPr>
          <w:b/>
        </w:rPr>
        <w:t>Material y métodos</w:t>
      </w:r>
    </w:p>
    <w:p w14:paraId="299FB2CC" w14:textId="77777777" w:rsidR="00CE10A9" w:rsidRPr="00CE10A9" w:rsidRDefault="00CE10A9" w:rsidP="00CE10A9">
      <w:pPr>
        <w:jc w:val="both"/>
      </w:pPr>
      <w:r w:rsidRPr="00CE10A9">
        <w:t>Se realizó un estudio observacional, descriptivo y transversal en las consultas externas de un hospital general de segundo nivel. La población de estudio estuvo constituida por pacientes adultos diagnosticados de hipertensión arterial con seguimiento periódico por el servicio de enfermería.</w:t>
      </w:r>
    </w:p>
    <w:p w14:paraId="6E9B03D0" w14:textId="77777777" w:rsidR="00CE10A9" w:rsidRPr="00CE10A9" w:rsidRDefault="00CE10A9" w:rsidP="00CE10A9">
      <w:pPr>
        <w:jc w:val="both"/>
      </w:pPr>
      <w:r w:rsidRPr="00CE10A9">
        <w:t xml:space="preserve">La recogida de datos se efectuó mediante un cuestionario anónimo y la revisión de la historia clínica electrónica. Se registraron variables sociodemográficas, tiempo de evolución de la enfermedad, tratamiento farmacológico, cifras de presión arterial, adherencia terapéutica y hábitos de vida. Asimismo, se evaluó la participación en intervenciones educativas de enfermería relacionadas con alimentación saludable, reducción del consumo de sal, práctica de ejercicio físico, control del peso, abandono del tabaco, consumo responsable de alcohol y </w:t>
      </w:r>
      <w:proofErr w:type="spellStart"/>
      <w:r w:rsidRPr="00CE10A9">
        <w:t>automonitorización</w:t>
      </w:r>
      <w:proofErr w:type="spellEnd"/>
      <w:r w:rsidRPr="00CE10A9">
        <w:t xml:space="preserve"> domiciliaria de la presión arterial.</w:t>
      </w:r>
    </w:p>
    <w:p w14:paraId="4BEE3C3F" w14:textId="77777777" w:rsidR="00CE10A9" w:rsidRPr="00CE10A9" w:rsidRDefault="00CE10A9" w:rsidP="00CE10A9">
      <w:pPr>
        <w:jc w:val="both"/>
      </w:pPr>
      <w:r w:rsidRPr="00CE10A9">
        <w:t>Los datos fueron analizados mediante estadística descriptiva. Las variables cuantitativas se expresaron como media y desviación estándar, mientras que las cualitativas se presentaron mediante frecuencias y porcentajes.</w:t>
      </w:r>
    </w:p>
    <w:p w14:paraId="0D8A1621" w14:textId="77777777" w:rsidR="00CE10A9" w:rsidRPr="00CE10A9" w:rsidRDefault="00CE10A9" w:rsidP="00CE10A9">
      <w:pPr>
        <w:jc w:val="both"/>
        <w:rPr>
          <w:b/>
        </w:rPr>
      </w:pPr>
      <w:r w:rsidRPr="00CE10A9">
        <w:rPr>
          <w:b/>
        </w:rPr>
        <w:t>Resultados</w:t>
      </w:r>
    </w:p>
    <w:p w14:paraId="057FB048" w14:textId="77777777" w:rsidR="00CE10A9" w:rsidRPr="00CE10A9" w:rsidRDefault="00CE10A9" w:rsidP="00CE10A9">
      <w:pPr>
        <w:jc w:val="both"/>
      </w:pPr>
      <w:r w:rsidRPr="00CE10A9">
        <w:lastRenderedPageBreak/>
        <w:t>Participaron 128 pacientes con una edad media de 66,2 ± 9,4 años, de los cuales el 56% fueron hombres y el 44% mujeres. El tiempo medio desde el diagnóstico de hipertensión arterial fue de 9,8 años.</w:t>
      </w:r>
    </w:p>
    <w:p w14:paraId="0E9A67CA" w14:textId="77777777" w:rsidR="00CE10A9" w:rsidRPr="00CE10A9" w:rsidRDefault="00CE10A9" w:rsidP="00CE10A9">
      <w:pPr>
        <w:jc w:val="both"/>
      </w:pPr>
      <w:r w:rsidRPr="00CE10A9">
        <w:t xml:space="preserve">El 88% de los participantes había recibido educación sanitaria por parte del personal de enfermería durante el último año. Las intervenciones más frecuentes fueron el asesoramiento dietético (84%), la promoción del ejercicio físico regular (79%), la educación sobre adherencia al tratamiento (76%) y la enseñanza de la </w:t>
      </w:r>
      <w:proofErr w:type="spellStart"/>
      <w:r w:rsidRPr="00CE10A9">
        <w:t>automedición</w:t>
      </w:r>
      <w:proofErr w:type="spellEnd"/>
      <w:r w:rsidRPr="00CE10A9">
        <w:t xml:space="preserve"> de la presión arterial en el domicilio (68%).</w:t>
      </w:r>
    </w:p>
    <w:p w14:paraId="548C7B9C" w14:textId="77777777" w:rsidR="00CE10A9" w:rsidRPr="00CE10A9" w:rsidRDefault="00CE10A9" w:rsidP="00CE10A9">
      <w:pPr>
        <w:jc w:val="both"/>
      </w:pPr>
      <w:r w:rsidRPr="00CE10A9">
        <w:t>El 73% de los pacientes manifestó realizar controles domiciliarios de la presión arterial de forma periódica y el 81% refirió cumplir adecuadamente el tratamiento farmacológico. Asimismo, el 69% presentó cifras de presión arterial dentro de los objetivos terapéuticos establecidos durante la última revisión.</w:t>
      </w:r>
    </w:p>
    <w:p w14:paraId="2C6EF799" w14:textId="77777777" w:rsidR="00CE10A9" w:rsidRPr="00CE10A9" w:rsidRDefault="00CE10A9" w:rsidP="00CE10A9">
      <w:pPr>
        <w:jc w:val="both"/>
      </w:pPr>
      <w:r w:rsidRPr="00CE10A9">
        <w:t>Los pacientes que participaron de forma continuada en actividades educativas mostraron una mayor adherencia al tratamiento, mejores hábitos de vida y un mayor conocimiento sobre su enfermedad en comparación con aquellos que recibieron intervenciones esporádicas.</w:t>
      </w:r>
    </w:p>
    <w:p w14:paraId="381D7FF3" w14:textId="77777777" w:rsidR="00CE10A9" w:rsidRPr="00CE10A9" w:rsidRDefault="00CE10A9" w:rsidP="00CE10A9">
      <w:pPr>
        <w:jc w:val="both"/>
        <w:rPr>
          <w:b/>
        </w:rPr>
      </w:pPr>
      <w:r w:rsidRPr="00CE10A9">
        <w:rPr>
          <w:b/>
        </w:rPr>
        <w:t>Conclusiones</w:t>
      </w:r>
    </w:p>
    <w:p w14:paraId="5EC25F2C" w14:textId="77777777" w:rsidR="00CE10A9" w:rsidRPr="00CE10A9" w:rsidRDefault="00CE10A9" w:rsidP="00CE10A9">
      <w:pPr>
        <w:jc w:val="both"/>
      </w:pPr>
      <w:r w:rsidRPr="00CE10A9">
        <w:t>Las intervenciones de enfermería desempeñan un papel esencial en el autocontrol de la hipertensión arterial, favoreciendo la adquisición de hábitos saludables, la adherencia al tratamiento y el control de las cifras tensionales. La educación sanitaria continuada y el seguimiento individualizado permiten incrementar la implicación del paciente en el manejo de su enfermedad y reducir el riesgo de complicaciones cardiovasculares.</w:t>
      </w:r>
    </w:p>
    <w:p w14:paraId="61CA0947" w14:textId="77777777" w:rsidR="00CE10A9" w:rsidRPr="00CE10A9" w:rsidRDefault="00CE10A9" w:rsidP="00CE10A9">
      <w:pPr>
        <w:jc w:val="both"/>
      </w:pPr>
      <w:r w:rsidRPr="00CE10A9">
        <w:t>Los resultados respaldan la necesidad de fortalecer los programas de educación terapéutica liderados por enfermería, incorporando estrategias de seguimiento periódico y promoción del autocuidado. La implantación de intervenciones estructuradas y adaptadas a las necesidades individuales puede contribuir a mejorar la calidad de vida de los pacientes y optimizar los resultados clínicos a largo plazo.</w:t>
      </w:r>
    </w:p>
    <w:p w14:paraId="1ED2D105" w14:textId="77777777" w:rsidR="00CE10A9" w:rsidRPr="00CE10A9" w:rsidRDefault="00CE10A9" w:rsidP="00CE10A9">
      <w:pPr>
        <w:jc w:val="both"/>
        <w:rPr>
          <w:b/>
        </w:rPr>
      </w:pPr>
      <w:r w:rsidRPr="00CE10A9">
        <w:rPr>
          <w:b/>
        </w:rPr>
        <w:t>Bibliografía</w:t>
      </w:r>
    </w:p>
    <w:p w14:paraId="18A979B2" w14:textId="77777777" w:rsidR="00CE10A9" w:rsidRPr="00CE10A9" w:rsidRDefault="00CE10A9" w:rsidP="00CE10A9">
      <w:pPr>
        <w:numPr>
          <w:ilvl w:val="0"/>
          <w:numId w:val="82"/>
        </w:numPr>
        <w:jc w:val="both"/>
      </w:pPr>
      <w:r w:rsidRPr="00CE10A9">
        <w:rPr>
          <w:lang w:val="en-GB"/>
        </w:rPr>
        <w:t xml:space="preserve">World Health Organization. </w:t>
      </w:r>
      <w:r w:rsidRPr="00CE10A9">
        <w:rPr>
          <w:i/>
          <w:lang w:val="en-GB"/>
        </w:rPr>
        <w:t>Guideline for the Pharmacological Treatment of Hypertension in Adults</w:t>
      </w:r>
      <w:r w:rsidRPr="00CE10A9">
        <w:rPr>
          <w:lang w:val="en-GB"/>
        </w:rPr>
        <w:t xml:space="preserve">. </w:t>
      </w:r>
      <w:r w:rsidRPr="00CE10A9">
        <w:t>Ginebra: Organización Mundial de la Salud; 2021.</w:t>
      </w:r>
    </w:p>
    <w:p w14:paraId="38AE6314" w14:textId="77777777" w:rsidR="00CE10A9" w:rsidRPr="00CE10A9" w:rsidRDefault="00CE10A9" w:rsidP="00CE10A9">
      <w:pPr>
        <w:numPr>
          <w:ilvl w:val="0"/>
          <w:numId w:val="82"/>
        </w:numPr>
        <w:jc w:val="both"/>
      </w:pPr>
      <w:r w:rsidRPr="00CE10A9">
        <w:rPr>
          <w:lang w:val="en-GB"/>
        </w:rPr>
        <w:t xml:space="preserve">European Society of Cardiology, European Society of Hypertension. </w:t>
      </w:r>
      <w:r w:rsidRPr="00CE10A9">
        <w:rPr>
          <w:i/>
          <w:lang w:val="en-GB"/>
        </w:rPr>
        <w:t>2024 ESC Guidelines for the Management of Arterial Hypertension</w:t>
      </w:r>
      <w:r w:rsidRPr="00CE10A9">
        <w:rPr>
          <w:lang w:val="en-GB"/>
        </w:rPr>
        <w:t xml:space="preserve">. European Heart Journal. </w:t>
      </w:r>
      <w:r w:rsidRPr="00CE10A9">
        <w:t>2024.</w:t>
      </w:r>
    </w:p>
    <w:p w14:paraId="151BBFB3" w14:textId="77777777" w:rsidR="00CE10A9" w:rsidRPr="00CE10A9" w:rsidRDefault="00CE10A9" w:rsidP="00CE10A9">
      <w:pPr>
        <w:numPr>
          <w:ilvl w:val="0"/>
          <w:numId w:val="82"/>
        </w:numPr>
        <w:jc w:val="both"/>
      </w:pPr>
      <w:r w:rsidRPr="00CE10A9">
        <w:lastRenderedPageBreak/>
        <w:t xml:space="preserve">Sociedad Española de Hipertensión-Liga Española para la Lucha contra la Hipertensión Arterial. </w:t>
      </w:r>
      <w:r w:rsidRPr="00CE10A9">
        <w:rPr>
          <w:i/>
        </w:rPr>
        <w:t>Guía de manejo de la hipertensión arterial</w:t>
      </w:r>
      <w:r w:rsidRPr="00CE10A9">
        <w:t>. Madrid: SEH-LELHA.</w:t>
      </w:r>
    </w:p>
    <w:p w14:paraId="6495E9CD" w14:textId="77777777" w:rsidR="00CE10A9" w:rsidRPr="00CE10A9" w:rsidRDefault="00CE10A9" w:rsidP="00CE10A9">
      <w:pPr>
        <w:numPr>
          <w:ilvl w:val="0"/>
          <w:numId w:val="82"/>
        </w:numPr>
        <w:jc w:val="both"/>
      </w:pPr>
      <w:r w:rsidRPr="00CE10A9">
        <w:rPr>
          <w:lang w:val="en-GB"/>
        </w:rPr>
        <w:t xml:space="preserve">American Heart Association. Hypertension management and cardiovascular risk reduction: scientific statement. </w:t>
      </w:r>
      <w:proofErr w:type="spellStart"/>
      <w:r w:rsidRPr="00CE10A9">
        <w:rPr>
          <w:i/>
        </w:rPr>
        <w:t>Hypertension</w:t>
      </w:r>
      <w:proofErr w:type="spellEnd"/>
      <w:r w:rsidRPr="00CE10A9">
        <w:t>. 2023.</w:t>
      </w:r>
    </w:p>
    <w:p w14:paraId="66374B04" w14:textId="77777777" w:rsidR="00CE10A9" w:rsidRPr="00CE10A9" w:rsidRDefault="00CE10A9" w:rsidP="00CE10A9">
      <w:pPr>
        <w:numPr>
          <w:ilvl w:val="0"/>
          <w:numId w:val="82"/>
        </w:numPr>
        <w:jc w:val="both"/>
        <w:rPr>
          <w:lang w:val="en-GB"/>
        </w:rPr>
      </w:pPr>
      <w:r w:rsidRPr="00CE10A9">
        <w:rPr>
          <w:lang w:val="en-GB"/>
        </w:rPr>
        <w:t xml:space="preserve">International Council of Nurses. </w:t>
      </w:r>
      <w:r w:rsidRPr="00CE10A9">
        <w:rPr>
          <w:i/>
          <w:lang w:val="en-GB"/>
        </w:rPr>
        <w:t>Nurses: A Voice to Lead. Improving Global Health</w:t>
      </w:r>
      <w:r w:rsidRPr="00CE10A9">
        <w:rPr>
          <w:lang w:val="en-GB"/>
        </w:rPr>
        <w:t>. Ginebra: ICN; 2022.</w:t>
      </w:r>
    </w:p>
    <w:p w14:paraId="6964B056" w14:textId="77777777" w:rsidR="00A9772F" w:rsidRDefault="00A9772F" w:rsidP="000E46B3">
      <w:pPr>
        <w:jc w:val="both"/>
        <w:rPr>
          <w:lang w:val="en-GB"/>
        </w:rPr>
      </w:pPr>
    </w:p>
    <w:p w14:paraId="6C6FC5F2" w14:textId="77777777" w:rsidR="00CE10A9" w:rsidRDefault="00CE10A9" w:rsidP="000E46B3">
      <w:pPr>
        <w:jc w:val="both"/>
        <w:rPr>
          <w:lang w:val="en-GB"/>
        </w:rPr>
      </w:pPr>
    </w:p>
    <w:p w14:paraId="6FA64D31" w14:textId="77777777" w:rsidR="00CE10A9" w:rsidRDefault="00CE10A9" w:rsidP="000E46B3">
      <w:pPr>
        <w:jc w:val="both"/>
        <w:rPr>
          <w:lang w:val="en-GB"/>
        </w:rPr>
      </w:pPr>
    </w:p>
    <w:p w14:paraId="5793A037" w14:textId="77777777" w:rsidR="00CE10A9" w:rsidRDefault="00CE10A9" w:rsidP="000E46B3">
      <w:pPr>
        <w:jc w:val="both"/>
        <w:rPr>
          <w:lang w:val="en-GB"/>
        </w:rPr>
      </w:pPr>
    </w:p>
    <w:p w14:paraId="3225F206" w14:textId="77777777" w:rsidR="00CE10A9" w:rsidRDefault="00CE10A9" w:rsidP="000E46B3">
      <w:pPr>
        <w:jc w:val="both"/>
        <w:rPr>
          <w:lang w:val="en-GB"/>
        </w:rPr>
      </w:pPr>
    </w:p>
    <w:p w14:paraId="6A12BE38" w14:textId="77777777" w:rsidR="00CE10A9" w:rsidRDefault="00CE10A9" w:rsidP="000E46B3">
      <w:pPr>
        <w:jc w:val="both"/>
        <w:rPr>
          <w:lang w:val="en-GB"/>
        </w:rPr>
      </w:pPr>
    </w:p>
    <w:p w14:paraId="7F3254BC" w14:textId="77777777" w:rsidR="00CE10A9" w:rsidRDefault="00CE10A9" w:rsidP="000E46B3">
      <w:pPr>
        <w:jc w:val="both"/>
        <w:rPr>
          <w:lang w:val="en-GB"/>
        </w:rPr>
      </w:pPr>
    </w:p>
    <w:p w14:paraId="48FF666B" w14:textId="77777777" w:rsidR="00CE10A9" w:rsidRDefault="00CE10A9" w:rsidP="000E46B3">
      <w:pPr>
        <w:jc w:val="both"/>
        <w:rPr>
          <w:lang w:val="en-GB"/>
        </w:rPr>
      </w:pPr>
    </w:p>
    <w:p w14:paraId="370FE767" w14:textId="77777777" w:rsidR="00CE10A9" w:rsidRDefault="00CE10A9" w:rsidP="000E46B3">
      <w:pPr>
        <w:jc w:val="both"/>
        <w:rPr>
          <w:lang w:val="en-GB"/>
        </w:rPr>
      </w:pPr>
    </w:p>
    <w:p w14:paraId="774F0FC3" w14:textId="77777777" w:rsidR="00CE10A9" w:rsidRDefault="00CE10A9" w:rsidP="000E46B3">
      <w:pPr>
        <w:jc w:val="both"/>
        <w:rPr>
          <w:lang w:val="en-GB"/>
        </w:rPr>
      </w:pPr>
    </w:p>
    <w:p w14:paraId="76521E29" w14:textId="77777777" w:rsidR="00CE10A9" w:rsidRDefault="00CE10A9" w:rsidP="000E46B3">
      <w:pPr>
        <w:jc w:val="both"/>
        <w:rPr>
          <w:lang w:val="en-GB"/>
        </w:rPr>
      </w:pPr>
    </w:p>
    <w:p w14:paraId="2DB5D759" w14:textId="77777777" w:rsidR="00CE10A9" w:rsidRDefault="00CE10A9" w:rsidP="000E46B3">
      <w:pPr>
        <w:jc w:val="both"/>
        <w:rPr>
          <w:lang w:val="en-GB"/>
        </w:rPr>
      </w:pPr>
    </w:p>
    <w:p w14:paraId="63E14106" w14:textId="77777777" w:rsidR="00CE10A9" w:rsidRDefault="00CE10A9" w:rsidP="000E46B3">
      <w:pPr>
        <w:jc w:val="both"/>
        <w:rPr>
          <w:lang w:val="en-GB"/>
        </w:rPr>
      </w:pPr>
    </w:p>
    <w:p w14:paraId="35228F6C" w14:textId="77777777" w:rsidR="00CE10A9" w:rsidRDefault="00CE10A9" w:rsidP="000E46B3">
      <w:pPr>
        <w:jc w:val="both"/>
        <w:rPr>
          <w:lang w:val="en-GB"/>
        </w:rPr>
      </w:pPr>
    </w:p>
    <w:p w14:paraId="31E64838" w14:textId="77777777" w:rsidR="00CE10A9" w:rsidRDefault="00CE10A9" w:rsidP="000E46B3">
      <w:pPr>
        <w:jc w:val="both"/>
        <w:rPr>
          <w:lang w:val="en-GB"/>
        </w:rPr>
      </w:pPr>
    </w:p>
    <w:p w14:paraId="0254C67B" w14:textId="77777777" w:rsidR="00CE10A9" w:rsidRDefault="00CE10A9" w:rsidP="000E46B3">
      <w:pPr>
        <w:jc w:val="both"/>
        <w:rPr>
          <w:lang w:val="en-GB"/>
        </w:rPr>
      </w:pPr>
    </w:p>
    <w:p w14:paraId="3BB84936" w14:textId="77777777" w:rsidR="00CE10A9" w:rsidRDefault="00CE10A9" w:rsidP="000E46B3">
      <w:pPr>
        <w:jc w:val="both"/>
        <w:rPr>
          <w:lang w:val="en-GB"/>
        </w:rPr>
      </w:pPr>
    </w:p>
    <w:p w14:paraId="7740CEB6" w14:textId="77777777" w:rsidR="00CE10A9" w:rsidRDefault="00CE10A9" w:rsidP="000E46B3">
      <w:pPr>
        <w:jc w:val="both"/>
        <w:rPr>
          <w:lang w:val="en-GB"/>
        </w:rPr>
      </w:pPr>
    </w:p>
    <w:p w14:paraId="1DB79751" w14:textId="77777777" w:rsidR="00CE10A9" w:rsidRDefault="00CE10A9" w:rsidP="000E46B3">
      <w:pPr>
        <w:jc w:val="both"/>
        <w:rPr>
          <w:lang w:val="en-GB"/>
        </w:rPr>
      </w:pPr>
    </w:p>
    <w:p w14:paraId="2D2F0A5B" w14:textId="77777777" w:rsidR="00CE10A9" w:rsidRDefault="00CE10A9" w:rsidP="000E46B3">
      <w:pPr>
        <w:jc w:val="both"/>
        <w:rPr>
          <w:lang w:val="en-GB"/>
        </w:rPr>
      </w:pPr>
    </w:p>
    <w:p w14:paraId="0B9E59B5" w14:textId="77777777" w:rsidR="00CE10A9" w:rsidRDefault="00CE10A9" w:rsidP="000E46B3">
      <w:pPr>
        <w:jc w:val="both"/>
        <w:rPr>
          <w:lang w:val="en-GB"/>
        </w:rPr>
      </w:pPr>
    </w:p>
    <w:p w14:paraId="4E1F312B" w14:textId="77777777" w:rsidR="00CE10A9" w:rsidRDefault="00CE10A9" w:rsidP="000E46B3">
      <w:pPr>
        <w:jc w:val="both"/>
        <w:rPr>
          <w:lang w:val="en-GB"/>
        </w:rPr>
      </w:pPr>
    </w:p>
    <w:p w14:paraId="6577E9BA" w14:textId="77777777" w:rsidR="00180DA6" w:rsidRPr="00180DA6" w:rsidRDefault="00180DA6" w:rsidP="00180DA6">
      <w:pPr>
        <w:jc w:val="both"/>
      </w:pPr>
      <w:r w:rsidRPr="00180DA6">
        <w:rPr>
          <w:b/>
        </w:rPr>
        <w:lastRenderedPageBreak/>
        <w:t>EMPATÍA EN ENFERMERÍA Y PERCEPCIÓN DE LA CALIDAD DE LA ATENCIÓN</w:t>
      </w:r>
    </w:p>
    <w:p w14:paraId="444E7962" w14:textId="77777777" w:rsidR="00180DA6" w:rsidRPr="00180DA6" w:rsidRDefault="00180DA6" w:rsidP="00180DA6">
      <w:pPr>
        <w:jc w:val="both"/>
        <w:rPr>
          <w:b/>
        </w:rPr>
      </w:pPr>
      <w:r w:rsidRPr="00180DA6">
        <w:rPr>
          <w:b/>
        </w:rPr>
        <w:t>Introducción</w:t>
      </w:r>
    </w:p>
    <w:p w14:paraId="11938543" w14:textId="77777777" w:rsidR="00180DA6" w:rsidRPr="00180DA6" w:rsidRDefault="00180DA6" w:rsidP="00180DA6">
      <w:pPr>
        <w:jc w:val="both"/>
      </w:pPr>
      <w:r w:rsidRPr="00180DA6">
        <w:t>La empatía es una competencia esencial en la práctica enfermera y constituye uno de los pilares de la atención centrada en la persona. Se define como la capacidad de comprender las emociones, necesidades y experiencias del paciente, comunicando dicha comprensión de manera respetuosa y favoreciendo una relación terapéutica basada en la confianza. La evidencia científica ha demostrado que una atención empática mejora la satisfacción de los pacientes, facilita la adherencia a los tratamientos y contribuye a mejores resultados en salud.</w:t>
      </w:r>
    </w:p>
    <w:p w14:paraId="636C1AF4" w14:textId="77777777" w:rsidR="00180DA6" w:rsidRPr="00180DA6" w:rsidRDefault="00180DA6" w:rsidP="00180DA6">
      <w:pPr>
        <w:jc w:val="both"/>
      </w:pPr>
      <w:r w:rsidRPr="00180DA6">
        <w:t>Los profesionales de enfermería mantienen un contacto continuo con los pacientes durante todo el proceso asistencial, lo que les sitúa en una posición privilegiada para proporcionar cuidados humanizados y establecer una comunicación eficaz. Sin embargo, factores como la sobrecarga asistencial, la presión laboral, el estrés o la falta de tiempo pueden dificultar el desarrollo de una relación empática, afectando tanto a la experiencia del paciente como a la percepción de la calidad de la atención recibida.</w:t>
      </w:r>
    </w:p>
    <w:p w14:paraId="4552E4A6" w14:textId="77777777" w:rsidR="00180DA6" w:rsidRPr="00180DA6" w:rsidRDefault="00180DA6" w:rsidP="00180DA6">
      <w:pPr>
        <w:jc w:val="both"/>
      </w:pPr>
      <w:r w:rsidRPr="00180DA6">
        <w:t>Promover la empatía en la práctica clínica no solo beneficia a los pacientes, sino que también fortalece la satisfacción profesional y mejora el clima laboral dentro de las organizaciones sanitarias. El objetivo de este estudio fue analizar la relación entre la empatía mostrada por los profesionales de enfermería y la percepción de la calidad de la atención por parte de los pacientes hospitalizados.</w:t>
      </w:r>
    </w:p>
    <w:p w14:paraId="181A7E43" w14:textId="77777777" w:rsidR="00180DA6" w:rsidRPr="00180DA6" w:rsidRDefault="00180DA6" w:rsidP="00180DA6">
      <w:pPr>
        <w:jc w:val="both"/>
        <w:rPr>
          <w:b/>
        </w:rPr>
      </w:pPr>
      <w:r w:rsidRPr="00180DA6">
        <w:rPr>
          <w:b/>
        </w:rPr>
        <w:t>Material y métodos</w:t>
      </w:r>
    </w:p>
    <w:p w14:paraId="4B6A8E88" w14:textId="77777777" w:rsidR="00180DA6" w:rsidRPr="00180DA6" w:rsidRDefault="00180DA6" w:rsidP="00180DA6">
      <w:pPr>
        <w:jc w:val="both"/>
      </w:pPr>
      <w:r w:rsidRPr="00180DA6">
        <w:t>Se realizó un estudio observacional, descriptivo y transversal en un hospital general de segundo nivel. Participaron profesionales de enfermería de las unidades de hospitalización médica y quirúrgica, así como pacientes ingresados durante el periodo de estudio.</w:t>
      </w:r>
    </w:p>
    <w:p w14:paraId="51EAC81A" w14:textId="77777777" w:rsidR="00180DA6" w:rsidRPr="00180DA6" w:rsidRDefault="00180DA6" w:rsidP="00180DA6">
      <w:pPr>
        <w:jc w:val="both"/>
      </w:pPr>
      <w:r w:rsidRPr="00180DA6">
        <w:t>La información se obtuvo mediante dos cuestionarios anónimos y voluntarios. El primero, dirigido a los profesionales de enfermería, recogió variables sociodemográficas, experiencia profesional y una escala validada para evaluar la empatía clínica. El segundo, destinado a los pacientes, incluyó preguntas relacionadas con la calidad percibida de los cuidados de enfermería, la comunicación, el trato recibido, la disponibilidad para resolver dudas y la satisfacción global con la atención prestada.</w:t>
      </w:r>
    </w:p>
    <w:p w14:paraId="370B7F56" w14:textId="77777777" w:rsidR="00180DA6" w:rsidRPr="00180DA6" w:rsidRDefault="00180DA6" w:rsidP="00180DA6">
      <w:pPr>
        <w:jc w:val="both"/>
      </w:pPr>
      <w:r w:rsidRPr="00180DA6">
        <w:t>Los datos fueron analizados mediante estadística descriptiva. Las variables cuantitativas se expresaron como media y desviación estándar, mientras que las cualitativas se presentaron mediante frecuencias y porcentajes.</w:t>
      </w:r>
    </w:p>
    <w:p w14:paraId="4F20E3AD" w14:textId="77777777" w:rsidR="00180DA6" w:rsidRPr="00180DA6" w:rsidRDefault="00180DA6" w:rsidP="00180DA6">
      <w:pPr>
        <w:jc w:val="both"/>
        <w:rPr>
          <w:b/>
        </w:rPr>
      </w:pPr>
      <w:r w:rsidRPr="00180DA6">
        <w:rPr>
          <w:b/>
        </w:rPr>
        <w:t>Resultados</w:t>
      </w:r>
    </w:p>
    <w:p w14:paraId="3BCB5118" w14:textId="77777777" w:rsidR="00180DA6" w:rsidRPr="00180DA6" w:rsidRDefault="00180DA6" w:rsidP="00180DA6">
      <w:pPr>
        <w:jc w:val="both"/>
      </w:pPr>
      <w:r w:rsidRPr="00180DA6">
        <w:lastRenderedPageBreak/>
        <w:t>Participaron 95 profesionales de enfermería y 180 pacientes. La edad media de los profesionales fue de 40,7 ± 8,9 años, con una experiencia laboral media de 15 años.</w:t>
      </w:r>
    </w:p>
    <w:p w14:paraId="01F2D91E" w14:textId="77777777" w:rsidR="00180DA6" w:rsidRPr="00180DA6" w:rsidRDefault="00180DA6" w:rsidP="00180DA6">
      <w:pPr>
        <w:jc w:val="both"/>
      </w:pPr>
      <w:r w:rsidRPr="00180DA6">
        <w:t>El 87% de las enfermeras obtuvo puntuaciones altas en la escala de empatía clínica. Los aspectos mejor valorados fueron la escucha activa, el respeto hacia las preferencias del paciente y la claridad en la comunicación durante los cuidados.</w:t>
      </w:r>
    </w:p>
    <w:p w14:paraId="5C800DBE" w14:textId="77777777" w:rsidR="00180DA6" w:rsidRPr="00180DA6" w:rsidRDefault="00180DA6" w:rsidP="00180DA6">
      <w:pPr>
        <w:jc w:val="both"/>
      </w:pPr>
      <w:r w:rsidRPr="00180DA6">
        <w:t>Entre los pacientes, el 92% calificó la atención de enfermería como buena o muy buena. El 90% manifestó sentirse tratado con respeto y dignidad, mientras que el 88% consideró que las enfermeras mostraban interés por sus preocupaciones y necesidades. La satisfacción global alcanzó una puntuación media de 4,5 sobre 5.</w:t>
      </w:r>
    </w:p>
    <w:p w14:paraId="379C148F" w14:textId="77777777" w:rsidR="00180DA6" w:rsidRPr="00180DA6" w:rsidRDefault="00180DA6" w:rsidP="00180DA6">
      <w:pPr>
        <w:jc w:val="both"/>
      </w:pPr>
      <w:r w:rsidRPr="00180DA6">
        <w:t>Los pacientes atendidos por profesionales con mayores niveles de empatía percibieron una mejor calidad asistencial, especialmente en aspectos relacionados con la confianza, la información recibida y el apoyo emocional durante el ingreso. Asimismo, la elevada carga asistencial fue identificada por el 57% de los profesionales como el principal obstáculo para mantener una comunicación plenamente individualizada con todos los pacientes.</w:t>
      </w:r>
    </w:p>
    <w:p w14:paraId="79CD76F4" w14:textId="77777777" w:rsidR="00180DA6" w:rsidRPr="00180DA6" w:rsidRDefault="00180DA6" w:rsidP="00180DA6">
      <w:pPr>
        <w:jc w:val="both"/>
        <w:rPr>
          <w:b/>
        </w:rPr>
      </w:pPr>
      <w:r w:rsidRPr="00180DA6">
        <w:rPr>
          <w:b/>
        </w:rPr>
        <w:t>Conclusiones</w:t>
      </w:r>
    </w:p>
    <w:p w14:paraId="5A597A02" w14:textId="77777777" w:rsidR="00180DA6" w:rsidRPr="00180DA6" w:rsidRDefault="00180DA6" w:rsidP="00180DA6">
      <w:pPr>
        <w:jc w:val="both"/>
      </w:pPr>
      <w:r w:rsidRPr="00180DA6">
        <w:t>La empatía constituye una competencia fundamental en la práctica enfermera y se asocia a una mejor percepción de la calidad de la atención por parte de los pacientes. La comunicación efectiva, la escucha activa y el respeto a las necesidades individuales fortalecen la relación terapéutica y favorecen una atención más humanizada.</w:t>
      </w:r>
    </w:p>
    <w:p w14:paraId="35AA72DF" w14:textId="77777777" w:rsidR="00180DA6" w:rsidRPr="00180DA6" w:rsidRDefault="00180DA6" w:rsidP="00180DA6">
      <w:pPr>
        <w:jc w:val="both"/>
      </w:pPr>
      <w:r w:rsidRPr="00180DA6">
        <w:t>Los resultados de este estudio ponen de manifiesto la necesidad de promover programas de formación en habilidades comunicativas y competencias emocionales, así como de desarrollar estrategias organizativas que permitan disponer del tiempo necesario para ofrecer cuidados centrados en la persona. Potenciar la empatía en enfermería no solo mejora la satisfacción de los pacientes, sino que también contribuye a incrementar la calidad asistencial y el bienestar de los propios profesionales.</w:t>
      </w:r>
    </w:p>
    <w:p w14:paraId="6705AE2D" w14:textId="77777777" w:rsidR="00180DA6" w:rsidRPr="00180DA6" w:rsidRDefault="00180DA6" w:rsidP="00180DA6">
      <w:pPr>
        <w:jc w:val="both"/>
        <w:rPr>
          <w:b/>
        </w:rPr>
      </w:pPr>
      <w:r w:rsidRPr="00180DA6">
        <w:rPr>
          <w:b/>
        </w:rPr>
        <w:t>Bibliografía</w:t>
      </w:r>
    </w:p>
    <w:p w14:paraId="5FF7D408" w14:textId="77777777" w:rsidR="00180DA6" w:rsidRPr="00180DA6" w:rsidRDefault="00180DA6" w:rsidP="00180DA6">
      <w:pPr>
        <w:numPr>
          <w:ilvl w:val="0"/>
          <w:numId w:val="83"/>
        </w:numPr>
        <w:jc w:val="both"/>
      </w:pPr>
      <w:r w:rsidRPr="00180DA6">
        <w:rPr>
          <w:lang w:val="en-GB"/>
        </w:rPr>
        <w:t xml:space="preserve">International Council of Nurses. </w:t>
      </w:r>
      <w:r w:rsidRPr="00180DA6">
        <w:rPr>
          <w:i/>
          <w:lang w:val="en-GB"/>
        </w:rPr>
        <w:t>The ICN Code of Ethics for Nurses</w:t>
      </w:r>
      <w:r w:rsidRPr="00180DA6">
        <w:rPr>
          <w:lang w:val="en-GB"/>
        </w:rPr>
        <w:t xml:space="preserve">. </w:t>
      </w:r>
      <w:r w:rsidRPr="00180DA6">
        <w:t>Ginebra: ICN; 2021.</w:t>
      </w:r>
    </w:p>
    <w:p w14:paraId="418E0F06" w14:textId="77777777" w:rsidR="00180DA6" w:rsidRPr="00180DA6" w:rsidRDefault="00180DA6" w:rsidP="00180DA6">
      <w:pPr>
        <w:numPr>
          <w:ilvl w:val="0"/>
          <w:numId w:val="83"/>
        </w:numPr>
        <w:jc w:val="both"/>
      </w:pPr>
      <w:r w:rsidRPr="00180DA6">
        <w:rPr>
          <w:lang w:val="en-GB"/>
        </w:rPr>
        <w:t xml:space="preserve">World Health Organization. </w:t>
      </w:r>
      <w:r w:rsidRPr="00180DA6">
        <w:rPr>
          <w:i/>
          <w:lang w:val="en-GB"/>
        </w:rPr>
        <w:t>Framework on Integrated People-Centred Health Services</w:t>
      </w:r>
      <w:r w:rsidRPr="00180DA6">
        <w:rPr>
          <w:lang w:val="en-GB"/>
        </w:rPr>
        <w:t xml:space="preserve">. </w:t>
      </w:r>
      <w:r w:rsidRPr="00180DA6">
        <w:t>Ginebra: Organización Mundial de la Salud; 2016.</w:t>
      </w:r>
    </w:p>
    <w:p w14:paraId="01E3240A" w14:textId="77777777" w:rsidR="00180DA6" w:rsidRPr="00180DA6" w:rsidRDefault="00180DA6" w:rsidP="00180DA6">
      <w:pPr>
        <w:numPr>
          <w:ilvl w:val="0"/>
          <w:numId w:val="83"/>
        </w:numPr>
        <w:jc w:val="both"/>
      </w:pPr>
      <w:proofErr w:type="spellStart"/>
      <w:r w:rsidRPr="00180DA6">
        <w:rPr>
          <w:lang w:val="en-GB"/>
        </w:rPr>
        <w:t>Hojat</w:t>
      </w:r>
      <w:proofErr w:type="spellEnd"/>
      <w:r w:rsidRPr="00180DA6">
        <w:rPr>
          <w:lang w:val="en-GB"/>
        </w:rPr>
        <w:t xml:space="preserve"> M. </w:t>
      </w:r>
      <w:r w:rsidRPr="00180DA6">
        <w:rPr>
          <w:i/>
          <w:lang w:val="en-GB"/>
        </w:rPr>
        <w:t>Empathy in Health Professions Education and Patient Care</w:t>
      </w:r>
      <w:r w:rsidRPr="00180DA6">
        <w:rPr>
          <w:lang w:val="en-GB"/>
        </w:rPr>
        <w:t xml:space="preserve">. </w:t>
      </w:r>
      <w:r w:rsidRPr="00180DA6">
        <w:t>Cham: Springer; 2016.</w:t>
      </w:r>
    </w:p>
    <w:p w14:paraId="01EA325C" w14:textId="77777777" w:rsidR="00180DA6" w:rsidRPr="00180DA6" w:rsidRDefault="00180DA6" w:rsidP="00180DA6">
      <w:pPr>
        <w:numPr>
          <w:ilvl w:val="0"/>
          <w:numId w:val="83"/>
        </w:numPr>
        <w:jc w:val="both"/>
      </w:pPr>
      <w:r w:rsidRPr="00180DA6">
        <w:rPr>
          <w:lang w:val="en-GB"/>
        </w:rPr>
        <w:lastRenderedPageBreak/>
        <w:t xml:space="preserve">Mercer SW, Reynolds WJ. Empathy and quality of care. </w:t>
      </w:r>
      <w:r w:rsidRPr="00180DA6">
        <w:rPr>
          <w:i/>
          <w:lang w:val="en-GB"/>
        </w:rPr>
        <w:t>British Journal of General Practice</w:t>
      </w:r>
      <w:r w:rsidRPr="00180DA6">
        <w:rPr>
          <w:lang w:val="en-GB"/>
        </w:rPr>
        <w:t xml:space="preserve">. </w:t>
      </w:r>
      <w:r w:rsidRPr="00180DA6">
        <w:t>2002;52(</w:t>
      </w:r>
      <w:proofErr w:type="spellStart"/>
      <w:r w:rsidRPr="00180DA6">
        <w:t>Suppl</w:t>
      </w:r>
      <w:proofErr w:type="spellEnd"/>
      <w:r w:rsidRPr="00180DA6">
        <w:t>).</w:t>
      </w:r>
    </w:p>
    <w:p w14:paraId="109A92AC" w14:textId="77777777" w:rsidR="00180DA6" w:rsidRPr="00180DA6" w:rsidRDefault="00180DA6" w:rsidP="00180DA6">
      <w:pPr>
        <w:numPr>
          <w:ilvl w:val="0"/>
          <w:numId w:val="83"/>
        </w:numPr>
        <w:jc w:val="both"/>
      </w:pPr>
      <w:r w:rsidRPr="00180DA6">
        <w:rPr>
          <w:lang w:val="en-GB"/>
        </w:rPr>
        <w:t xml:space="preserve">Halpern J. </w:t>
      </w:r>
      <w:r w:rsidRPr="00180DA6">
        <w:rPr>
          <w:i/>
          <w:lang w:val="en-GB"/>
        </w:rPr>
        <w:t>From Detached Concern to Empathy: Humanizing Medical Practice</w:t>
      </w:r>
      <w:r w:rsidRPr="00180DA6">
        <w:rPr>
          <w:lang w:val="en-GB"/>
        </w:rPr>
        <w:t xml:space="preserve">. </w:t>
      </w:r>
      <w:r w:rsidRPr="00180DA6">
        <w:t xml:space="preserve">Oxford: Oxford </w:t>
      </w:r>
      <w:proofErr w:type="spellStart"/>
      <w:r w:rsidRPr="00180DA6">
        <w:t>University</w:t>
      </w:r>
      <w:proofErr w:type="spellEnd"/>
      <w:r w:rsidRPr="00180DA6">
        <w:t xml:space="preserve"> Press; 2001.</w:t>
      </w:r>
    </w:p>
    <w:p w14:paraId="18CE44BF" w14:textId="77777777" w:rsidR="00CE10A9" w:rsidRDefault="00CE10A9" w:rsidP="000E46B3">
      <w:pPr>
        <w:jc w:val="both"/>
        <w:rPr>
          <w:lang w:val="en-GB"/>
        </w:rPr>
      </w:pPr>
    </w:p>
    <w:p w14:paraId="5174AB59" w14:textId="77777777" w:rsidR="00180DA6" w:rsidRDefault="00180DA6" w:rsidP="000E46B3">
      <w:pPr>
        <w:jc w:val="both"/>
        <w:rPr>
          <w:lang w:val="en-GB"/>
        </w:rPr>
      </w:pPr>
    </w:p>
    <w:p w14:paraId="020D5282" w14:textId="77777777" w:rsidR="00180DA6" w:rsidRDefault="00180DA6" w:rsidP="000E46B3">
      <w:pPr>
        <w:jc w:val="both"/>
        <w:rPr>
          <w:lang w:val="en-GB"/>
        </w:rPr>
      </w:pPr>
    </w:p>
    <w:p w14:paraId="5B6FB14A" w14:textId="77777777" w:rsidR="00180DA6" w:rsidRDefault="00180DA6" w:rsidP="000E46B3">
      <w:pPr>
        <w:jc w:val="both"/>
        <w:rPr>
          <w:lang w:val="en-GB"/>
        </w:rPr>
      </w:pPr>
    </w:p>
    <w:p w14:paraId="522CB91C" w14:textId="77777777" w:rsidR="00180DA6" w:rsidRDefault="00180DA6" w:rsidP="000E46B3">
      <w:pPr>
        <w:jc w:val="both"/>
        <w:rPr>
          <w:lang w:val="en-GB"/>
        </w:rPr>
      </w:pPr>
    </w:p>
    <w:p w14:paraId="074BD231" w14:textId="77777777" w:rsidR="00180DA6" w:rsidRDefault="00180DA6" w:rsidP="000E46B3">
      <w:pPr>
        <w:jc w:val="both"/>
        <w:rPr>
          <w:lang w:val="en-GB"/>
        </w:rPr>
      </w:pPr>
    </w:p>
    <w:p w14:paraId="4B740EE8" w14:textId="77777777" w:rsidR="00180DA6" w:rsidRDefault="00180DA6" w:rsidP="000E46B3">
      <w:pPr>
        <w:jc w:val="both"/>
        <w:rPr>
          <w:lang w:val="en-GB"/>
        </w:rPr>
      </w:pPr>
    </w:p>
    <w:p w14:paraId="6CF33EAA" w14:textId="77777777" w:rsidR="00180DA6" w:rsidRDefault="00180DA6" w:rsidP="000E46B3">
      <w:pPr>
        <w:jc w:val="both"/>
        <w:rPr>
          <w:lang w:val="en-GB"/>
        </w:rPr>
      </w:pPr>
    </w:p>
    <w:p w14:paraId="0E6DA2EE" w14:textId="77777777" w:rsidR="00180DA6" w:rsidRDefault="00180DA6" w:rsidP="000E46B3">
      <w:pPr>
        <w:jc w:val="both"/>
        <w:rPr>
          <w:lang w:val="en-GB"/>
        </w:rPr>
      </w:pPr>
    </w:p>
    <w:p w14:paraId="4D051AEF" w14:textId="77777777" w:rsidR="00180DA6" w:rsidRDefault="00180DA6" w:rsidP="000E46B3">
      <w:pPr>
        <w:jc w:val="both"/>
        <w:rPr>
          <w:lang w:val="en-GB"/>
        </w:rPr>
      </w:pPr>
    </w:p>
    <w:p w14:paraId="5B937147" w14:textId="77777777" w:rsidR="00180DA6" w:rsidRDefault="00180DA6" w:rsidP="000E46B3">
      <w:pPr>
        <w:jc w:val="both"/>
        <w:rPr>
          <w:lang w:val="en-GB"/>
        </w:rPr>
      </w:pPr>
    </w:p>
    <w:p w14:paraId="012406BE" w14:textId="77777777" w:rsidR="00180DA6" w:rsidRDefault="00180DA6" w:rsidP="000E46B3">
      <w:pPr>
        <w:jc w:val="both"/>
        <w:rPr>
          <w:lang w:val="en-GB"/>
        </w:rPr>
      </w:pPr>
    </w:p>
    <w:p w14:paraId="0AC16FCB" w14:textId="77777777" w:rsidR="00180DA6" w:rsidRDefault="00180DA6" w:rsidP="000E46B3">
      <w:pPr>
        <w:jc w:val="both"/>
        <w:rPr>
          <w:lang w:val="en-GB"/>
        </w:rPr>
      </w:pPr>
    </w:p>
    <w:p w14:paraId="71860DE1" w14:textId="77777777" w:rsidR="00180DA6" w:rsidRDefault="00180DA6" w:rsidP="000E46B3">
      <w:pPr>
        <w:jc w:val="both"/>
        <w:rPr>
          <w:lang w:val="en-GB"/>
        </w:rPr>
      </w:pPr>
    </w:p>
    <w:p w14:paraId="32AED307" w14:textId="77777777" w:rsidR="00180DA6" w:rsidRDefault="00180DA6" w:rsidP="000E46B3">
      <w:pPr>
        <w:jc w:val="both"/>
        <w:rPr>
          <w:lang w:val="en-GB"/>
        </w:rPr>
      </w:pPr>
    </w:p>
    <w:p w14:paraId="4A22D117" w14:textId="77777777" w:rsidR="00180DA6" w:rsidRDefault="00180DA6" w:rsidP="000E46B3">
      <w:pPr>
        <w:jc w:val="both"/>
        <w:rPr>
          <w:lang w:val="en-GB"/>
        </w:rPr>
      </w:pPr>
    </w:p>
    <w:p w14:paraId="3601ACC8" w14:textId="77777777" w:rsidR="00180DA6" w:rsidRDefault="00180DA6" w:rsidP="000E46B3">
      <w:pPr>
        <w:jc w:val="both"/>
        <w:rPr>
          <w:lang w:val="en-GB"/>
        </w:rPr>
      </w:pPr>
    </w:p>
    <w:p w14:paraId="4C31AF4A" w14:textId="77777777" w:rsidR="00180DA6" w:rsidRDefault="00180DA6" w:rsidP="000E46B3">
      <w:pPr>
        <w:jc w:val="both"/>
        <w:rPr>
          <w:lang w:val="en-GB"/>
        </w:rPr>
      </w:pPr>
    </w:p>
    <w:p w14:paraId="15EBFCA3" w14:textId="77777777" w:rsidR="00180DA6" w:rsidRDefault="00180DA6" w:rsidP="000E46B3">
      <w:pPr>
        <w:jc w:val="both"/>
        <w:rPr>
          <w:lang w:val="en-GB"/>
        </w:rPr>
      </w:pPr>
    </w:p>
    <w:p w14:paraId="6E03909C" w14:textId="77777777" w:rsidR="00180DA6" w:rsidRDefault="00180DA6" w:rsidP="000E46B3">
      <w:pPr>
        <w:jc w:val="both"/>
        <w:rPr>
          <w:lang w:val="en-GB"/>
        </w:rPr>
      </w:pPr>
    </w:p>
    <w:p w14:paraId="4B210867" w14:textId="77777777" w:rsidR="00180DA6" w:rsidRDefault="00180DA6" w:rsidP="000E46B3">
      <w:pPr>
        <w:jc w:val="both"/>
        <w:rPr>
          <w:lang w:val="en-GB"/>
        </w:rPr>
      </w:pPr>
    </w:p>
    <w:p w14:paraId="01800655" w14:textId="77777777" w:rsidR="00180DA6" w:rsidRDefault="00180DA6" w:rsidP="000E46B3">
      <w:pPr>
        <w:jc w:val="both"/>
        <w:rPr>
          <w:lang w:val="en-GB"/>
        </w:rPr>
      </w:pPr>
    </w:p>
    <w:p w14:paraId="62D45E4B" w14:textId="77777777" w:rsidR="00180DA6" w:rsidRDefault="00180DA6" w:rsidP="000E46B3">
      <w:pPr>
        <w:jc w:val="both"/>
        <w:rPr>
          <w:lang w:val="en-GB"/>
        </w:rPr>
      </w:pPr>
    </w:p>
    <w:p w14:paraId="0F227FBB" w14:textId="77777777" w:rsidR="00180DA6" w:rsidRDefault="00180DA6" w:rsidP="000E46B3">
      <w:pPr>
        <w:jc w:val="both"/>
        <w:rPr>
          <w:lang w:val="en-GB"/>
        </w:rPr>
      </w:pPr>
    </w:p>
    <w:p w14:paraId="20EB6629" w14:textId="77777777" w:rsidR="00180DA6" w:rsidRDefault="00180DA6" w:rsidP="000E46B3">
      <w:pPr>
        <w:jc w:val="both"/>
        <w:rPr>
          <w:lang w:val="en-GB"/>
        </w:rPr>
      </w:pPr>
    </w:p>
    <w:p w14:paraId="5C7C4550" w14:textId="77777777" w:rsidR="00821266" w:rsidRPr="00821266" w:rsidRDefault="00821266" w:rsidP="00821266">
      <w:pPr>
        <w:jc w:val="both"/>
      </w:pPr>
      <w:r w:rsidRPr="00821266">
        <w:rPr>
          <w:b/>
        </w:rPr>
        <w:lastRenderedPageBreak/>
        <w:t>La observación clínica del TCAE: un elemento clave para la detección precoz de cambios en el estado del paciente</w:t>
      </w:r>
    </w:p>
    <w:p w14:paraId="267BF278" w14:textId="77777777" w:rsidR="00821266" w:rsidRPr="00821266" w:rsidRDefault="00821266" w:rsidP="00821266">
      <w:pPr>
        <w:jc w:val="both"/>
        <w:rPr>
          <w:b/>
        </w:rPr>
      </w:pPr>
      <w:r w:rsidRPr="00821266">
        <w:rPr>
          <w:b/>
        </w:rPr>
        <w:t>Introducción</w:t>
      </w:r>
    </w:p>
    <w:p w14:paraId="7C11A85A" w14:textId="77777777" w:rsidR="00821266" w:rsidRPr="00821266" w:rsidRDefault="00821266" w:rsidP="00821266">
      <w:pPr>
        <w:jc w:val="both"/>
      </w:pPr>
      <w:r w:rsidRPr="00821266">
        <w:t>El Técnico en Cuidados Auxiliares de Enfermería (TCAE) desempeña un papel fundamental en la atención integral al paciente. Debido al contacto continuado que mantiene durante la higiene, la alimentación, la movilización, el acompañamiento y otras actividades básicas, este profesional se encuentra en una posición privilegiada para detectar cambios físicos, funcionales y emocionales que pueden indicar una alteración del estado de salud.</w:t>
      </w:r>
    </w:p>
    <w:p w14:paraId="4C747ED4" w14:textId="77777777" w:rsidR="00821266" w:rsidRPr="00821266" w:rsidRDefault="00821266" w:rsidP="00821266">
      <w:pPr>
        <w:jc w:val="both"/>
      </w:pPr>
      <w:r w:rsidRPr="00821266">
        <w:t>Aunque el diagnóstico y la toma de decisiones clínicas corresponden a otros profesionales sanitarios dentro de sus competencias, la capacidad del TCAE para realizar una observación sistemática y comunicar de forma precoz cualquier incidencia constituye un elemento esencial para la seguridad del paciente y la calidad asistencial.</w:t>
      </w:r>
    </w:p>
    <w:p w14:paraId="2C3267DA" w14:textId="77777777" w:rsidR="00821266" w:rsidRPr="00821266" w:rsidRDefault="00821266" w:rsidP="00821266">
      <w:pPr>
        <w:jc w:val="both"/>
      </w:pPr>
      <w:r w:rsidRPr="00821266">
        <w:t>La vigilancia continua favorece la identificación temprana de complicaciones y facilita una intervención rápida por parte del equipo sanitario.</w:t>
      </w:r>
    </w:p>
    <w:p w14:paraId="24C6F20F" w14:textId="77777777" w:rsidR="00821266" w:rsidRPr="00821266" w:rsidRDefault="00821266" w:rsidP="00821266">
      <w:pPr>
        <w:jc w:val="both"/>
        <w:rPr>
          <w:b/>
        </w:rPr>
      </w:pPr>
      <w:r w:rsidRPr="00821266">
        <w:rPr>
          <w:b/>
        </w:rPr>
        <w:t>Objetivo</w:t>
      </w:r>
    </w:p>
    <w:p w14:paraId="7F40F772" w14:textId="77777777" w:rsidR="00821266" w:rsidRPr="00821266" w:rsidRDefault="00821266" w:rsidP="00821266">
      <w:pPr>
        <w:jc w:val="both"/>
      </w:pPr>
      <w:r w:rsidRPr="00821266">
        <w:t>Analizar la importancia de la observación clínica realizada por el TCAE y describir su contribución a la detección precoz de cambios en el estado del paciente y a la mejora de la seguridad asistencial.</w:t>
      </w:r>
    </w:p>
    <w:p w14:paraId="7A61D3FC" w14:textId="77777777" w:rsidR="00821266" w:rsidRPr="00821266" w:rsidRDefault="00821266" w:rsidP="00821266">
      <w:pPr>
        <w:jc w:val="both"/>
        <w:rPr>
          <w:b/>
        </w:rPr>
      </w:pPr>
      <w:r w:rsidRPr="00821266">
        <w:rPr>
          <w:b/>
        </w:rPr>
        <w:t>Material y método</w:t>
      </w:r>
    </w:p>
    <w:p w14:paraId="160E6941" w14:textId="77777777" w:rsidR="00821266" w:rsidRPr="00821266" w:rsidRDefault="00821266" w:rsidP="00821266">
      <w:pPr>
        <w:jc w:val="both"/>
      </w:pPr>
      <w:r w:rsidRPr="00821266">
        <w:t xml:space="preserve">Se realizó una revisión bibliográfica descriptiva mediante la consulta de artículos científicos, manuales de cuidados básicos y documentos técnicos publicados entre 2016 y 2025. Se revisaron las bases de datos PubMed, </w:t>
      </w:r>
      <w:proofErr w:type="spellStart"/>
      <w:r w:rsidRPr="00821266">
        <w:t>Scopus</w:t>
      </w:r>
      <w:proofErr w:type="spellEnd"/>
      <w:r w:rsidRPr="00821266">
        <w:t xml:space="preserve"> y Google Scholar, además de publicaciones relacionadas con la seguridad del paciente, los cuidados auxiliares y el trabajo interdisciplinar.</w:t>
      </w:r>
    </w:p>
    <w:p w14:paraId="41E89C15" w14:textId="77777777" w:rsidR="00821266" w:rsidRPr="00821266" w:rsidRDefault="00821266" w:rsidP="00821266">
      <w:pPr>
        <w:jc w:val="both"/>
      </w:pPr>
      <w:r w:rsidRPr="00821266">
        <w:t>Se seleccionaron estudios sobre vigilancia clínica, detección precoz del deterioro del paciente y funciones del TCAE dentro del equipo asistencial.</w:t>
      </w:r>
    </w:p>
    <w:p w14:paraId="13B8B7AF" w14:textId="77777777" w:rsidR="00821266" w:rsidRPr="00821266" w:rsidRDefault="00821266" w:rsidP="00821266">
      <w:pPr>
        <w:jc w:val="both"/>
        <w:rPr>
          <w:b/>
        </w:rPr>
      </w:pPr>
      <w:r w:rsidRPr="00821266">
        <w:rPr>
          <w:b/>
        </w:rPr>
        <w:t>Resultados</w:t>
      </w:r>
    </w:p>
    <w:p w14:paraId="306B7730" w14:textId="77777777" w:rsidR="00821266" w:rsidRPr="00821266" w:rsidRDefault="00821266" w:rsidP="00821266">
      <w:pPr>
        <w:jc w:val="both"/>
      </w:pPr>
      <w:r w:rsidRPr="00821266">
        <w:t>La evidencia científica muestra que la observación continuada favorece la detección temprana de modificaciones en el estado general del paciente, permitiendo comunicar con rapidez cualquier situación que requiera valoración por parte del personal de enfermería o del equipo médico.</w:t>
      </w:r>
    </w:p>
    <w:p w14:paraId="25C83246" w14:textId="77777777" w:rsidR="00821266" w:rsidRPr="00821266" w:rsidRDefault="00821266" w:rsidP="00821266">
      <w:pPr>
        <w:jc w:val="both"/>
      </w:pPr>
      <w:r w:rsidRPr="00821266">
        <w:t xml:space="preserve">Entre los cambios que el TCAE puede identificar se encuentran alteraciones en el nivel de conciencia, cambios en la coloración de la piel, dificultad respiratoria, </w:t>
      </w:r>
      <w:r w:rsidRPr="00821266">
        <w:lastRenderedPageBreak/>
        <w:t>disminución de la movilidad habitual, pérdida del apetito, aparición de dolor, cambios en la eliminación, signos de deshidratación o variaciones en el comportamiento y estado emocional.</w:t>
      </w:r>
    </w:p>
    <w:p w14:paraId="0C3D6600" w14:textId="77777777" w:rsidR="00821266" w:rsidRPr="00821266" w:rsidRDefault="00821266" w:rsidP="00821266">
      <w:pPr>
        <w:jc w:val="both"/>
      </w:pPr>
      <w:r w:rsidRPr="00821266">
        <w:t>Los estudios destacan que la comunicación inmediata, objetiva y precisa de estas observaciones mejora la coordinación entre los profesionales y favorece intervenciones más rápidas, reduciendo el riesgo de complicaciones.</w:t>
      </w:r>
    </w:p>
    <w:p w14:paraId="2A7EB4D1" w14:textId="77777777" w:rsidR="00821266" w:rsidRPr="00821266" w:rsidRDefault="00821266" w:rsidP="00821266">
      <w:pPr>
        <w:jc w:val="both"/>
      </w:pPr>
      <w:r w:rsidRPr="00821266">
        <w:t>Asimismo, la utilización de registros adecuados, el conocimiento de los protocolos del centro y la formación continuada fortalecen la capacidad del TCAE para contribuir activamente a la seguridad asistencial.</w:t>
      </w:r>
    </w:p>
    <w:p w14:paraId="59EB6CD9" w14:textId="77777777" w:rsidR="00821266" w:rsidRPr="00821266" w:rsidRDefault="00821266" w:rsidP="00821266">
      <w:pPr>
        <w:jc w:val="both"/>
      </w:pPr>
      <w:r w:rsidRPr="00821266">
        <w:t>La literatura científica también señala que la experiencia profesional, junto con la observación sistemática durante los cuidados básicos, convierte al TCAE en un miembro esencial dentro del proceso de vigilancia clínica del paciente.</w:t>
      </w:r>
    </w:p>
    <w:p w14:paraId="37BBA024" w14:textId="77777777" w:rsidR="00821266" w:rsidRPr="00821266" w:rsidRDefault="00821266" w:rsidP="00821266">
      <w:pPr>
        <w:jc w:val="both"/>
        <w:rPr>
          <w:b/>
        </w:rPr>
      </w:pPr>
      <w:r w:rsidRPr="00821266">
        <w:rPr>
          <w:b/>
        </w:rPr>
        <w:t>Conclusiones</w:t>
      </w:r>
    </w:p>
    <w:p w14:paraId="33FB60B7" w14:textId="77777777" w:rsidR="00821266" w:rsidRPr="00821266" w:rsidRDefault="00821266" w:rsidP="00821266">
      <w:pPr>
        <w:jc w:val="both"/>
      </w:pPr>
      <w:r w:rsidRPr="00821266">
        <w:t>La observación clínica constituye una de las aportaciones más relevantes del TCAE dentro del equipo multidisciplinar. La detección precoz de cambios en el estado del paciente y su adecuada comunicación permiten mejorar la continuidad asistencial y favorecer una atención más segura.</w:t>
      </w:r>
    </w:p>
    <w:p w14:paraId="4DBA2BF0" w14:textId="77777777" w:rsidR="00821266" w:rsidRPr="00821266" w:rsidRDefault="00821266" w:rsidP="00821266">
      <w:pPr>
        <w:jc w:val="both"/>
      </w:pPr>
      <w:r w:rsidRPr="00821266">
        <w:t>El desarrollo de habilidades de observación, el conocimiento de los signos de alerta y la colaboración estrecha con el resto del equipo sanitario fortalecen el papel del TCAE como profesional imprescindible en la calidad de los cuidados.</w:t>
      </w:r>
    </w:p>
    <w:p w14:paraId="7A347FC2" w14:textId="77777777" w:rsidR="00821266" w:rsidRPr="00821266" w:rsidRDefault="00821266" w:rsidP="00821266">
      <w:pPr>
        <w:jc w:val="both"/>
      </w:pPr>
      <w:r w:rsidRPr="00821266">
        <w:t>La formación continuada y la estandarización de los procedimientos de comunicación contribuyen a potenciar esta función, mejorando tanto la seguridad del paciente como la eficacia de la atención sanitaria.</w:t>
      </w:r>
    </w:p>
    <w:p w14:paraId="4B16330E" w14:textId="77777777" w:rsidR="00821266" w:rsidRPr="00821266" w:rsidRDefault="00821266" w:rsidP="00821266">
      <w:pPr>
        <w:jc w:val="both"/>
        <w:rPr>
          <w:b/>
        </w:rPr>
      </w:pPr>
      <w:r w:rsidRPr="00821266">
        <w:rPr>
          <w:b/>
        </w:rPr>
        <w:t>Bibliografía</w:t>
      </w:r>
    </w:p>
    <w:p w14:paraId="2DB18A69" w14:textId="77777777" w:rsidR="00821266" w:rsidRPr="00821266" w:rsidRDefault="00821266" w:rsidP="00821266">
      <w:pPr>
        <w:numPr>
          <w:ilvl w:val="0"/>
          <w:numId w:val="84"/>
        </w:numPr>
        <w:jc w:val="both"/>
      </w:pPr>
      <w:r w:rsidRPr="00821266">
        <w:t>Ministerio de Sanidad. *Guía de Seguridad del Paciente para Profesionales Sanitarios*.</w:t>
      </w:r>
    </w:p>
    <w:p w14:paraId="0F17AE52" w14:textId="77777777" w:rsidR="00821266" w:rsidRPr="00821266" w:rsidRDefault="00821266" w:rsidP="00821266">
      <w:pPr>
        <w:numPr>
          <w:ilvl w:val="0"/>
          <w:numId w:val="84"/>
        </w:numPr>
        <w:jc w:val="both"/>
        <w:rPr>
          <w:lang w:val="en-GB"/>
        </w:rPr>
      </w:pPr>
      <w:r w:rsidRPr="00821266">
        <w:t xml:space="preserve">Organización Mundial de la Salud. </w:t>
      </w:r>
      <w:r w:rsidRPr="00821266">
        <w:rPr>
          <w:lang w:val="en-GB"/>
        </w:rPr>
        <w:t>(2021). *Global Patient Safety Action Plan 2021–2030*.</w:t>
      </w:r>
    </w:p>
    <w:p w14:paraId="1A8740E8" w14:textId="77777777" w:rsidR="00821266" w:rsidRPr="00821266" w:rsidRDefault="00821266" w:rsidP="00821266">
      <w:pPr>
        <w:numPr>
          <w:ilvl w:val="0"/>
          <w:numId w:val="84"/>
        </w:numPr>
        <w:jc w:val="both"/>
      </w:pPr>
      <w:r w:rsidRPr="00821266">
        <w:t>Instituto Nacional de Gestión Sanitaria. *Manual de Cuidados Auxiliares de Enfermería*.</w:t>
      </w:r>
    </w:p>
    <w:p w14:paraId="51D1B1D6" w14:textId="77777777" w:rsidR="00821266" w:rsidRPr="00821266" w:rsidRDefault="00821266" w:rsidP="00821266">
      <w:pPr>
        <w:numPr>
          <w:ilvl w:val="0"/>
          <w:numId w:val="84"/>
        </w:numPr>
        <w:jc w:val="both"/>
      </w:pPr>
      <w:r w:rsidRPr="00821266">
        <w:t>Consejo General de Colegios Oficiales de Enfermería de España. *Documentos sobre trabajo en equipo y seguridad del paciente*.</w:t>
      </w:r>
    </w:p>
    <w:p w14:paraId="74A0495D" w14:textId="77777777" w:rsidR="00821266" w:rsidRPr="00821266" w:rsidRDefault="00821266" w:rsidP="00821266">
      <w:pPr>
        <w:numPr>
          <w:ilvl w:val="0"/>
          <w:numId w:val="84"/>
        </w:numPr>
        <w:jc w:val="both"/>
        <w:rPr>
          <w:lang w:val="en-GB"/>
        </w:rPr>
      </w:pPr>
      <w:r w:rsidRPr="00821266">
        <w:rPr>
          <w:lang w:val="en-GB"/>
        </w:rPr>
        <w:t xml:space="preserve">Odell, M., Victor, C., &amp; Oliver, D. (2009). Nurses' role in detecting deterioration in ward patients: </w:t>
      </w:r>
    </w:p>
    <w:p w14:paraId="442B60D5" w14:textId="77777777" w:rsidR="00821266" w:rsidRPr="00821266" w:rsidRDefault="00821266" w:rsidP="00821266">
      <w:pPr>
        <w:jc w:val="both"/>
        <w:rPr>
          <w:lang w:val="en-GB"/>
        </w:rPr>
      </w:pPr>
      <w:r w:rsidRPr="00821266">
        <w:rPr>
          <w:lang w:val="en-GB"/>
        </w:rPr>
        <w:lastRenderedPageBreak/>
        <w:t>Systematic literature review. *Journal of Advanced Nursing*, 65(10), 1992–2006.</w:t>
      </w:r>
    </w:p>
    <w:p w14:paraId="7DF03078" w14:textId="77777777" w:rsidR="00180DA6" w:rsidRDefault="00180DA6" w:rsidP="000E46B3">
      <w:pPr>
        <w:jc w:val="both"/>
        <w:rPr>
          <w:lang w:val="en-GB"/>
        </w:rPr>
      </w:pPr>
    </w:p>
    <w:p w14:paraId="02ABC3C1" w14:textId="77777777" w:rsidR="00821266" w:rsidRDefault="00821266" w:rsidP="000E46B3">
      <w:pPr>
        <w:jc w:val="both"/>
        <w:rPr>
          <w:lang w:val="en-GB"/>
        </w:rPr>
      </w:pPr>
    </w:p>
    <w:p w14:paraId="0AD4DA5D" w14:textId="77777777" w:rsidR="00821266" w:rsidRDefault="00821266" w:rsidP="000E46B3">
      <w:pPr>
        <w:jc w:val="both"/>
        <w:rPr>
          <w:lang w:val="en-GB"/>
        </w:rPr>
      </w:pPr>
    </w:p>
    <w:p w14:paraId="329A2D70" w14:textId="77777777" w:rsidR="00821266" w:rsidRDefault="00821266" w:rsidP="000E46B3">
      <w:pPr>
        <w:jc w:val="both"/>
        <w:rPr>
          <w:lang w:val="en-GB"/>
        </w:rPr>
      </w:pPr>
    </w:p>
    <w:p w14:paraId="7A17F427" w14:textId="77777777" w:rsidR="00821266" w:rsidRDefault="00821266" w:rsidP="000E46B3">
      <w:pPr>
        <w:jc w:val="both"/>
        <w:rPr>
          <w:lang w:val="en-GB"/>
        </w:rPr>
      </w:pPr>
    </w:p>
    <w:p w14:paraId="56A266EA" w14:textId="77777777" w:rsidR="00821266" w:rsidRDefault="00821266" w:rsidP="000E46B3">
      <w:pPr>
        <w:jc w:val="both"/>
        <w:rPr>
          <w:lang w:val="en-GB"/>
        </w:rPr>
      </w:pPr>
    </w:p>
    <w:p w14:paraId="1D078FAC" w14:textId="77777777" w:rsidR="00821266" w:rsidRDefault="00821266" w:rsidP="000E46B3">
      <w:pPr>
        <w:jc w:val="both"/>
        <w:rPr>
          <w:lang w:val="en-GB"/>
        </w:rPr>
      </w:pPr>
    </w:p>
    <w:p w14:paraId="3E61CE04" w14:textId="77777777" w:rsidR="00821266" w:rsidRDefault="00821266" w:rsidP="000E46B3">
      <w:pPr>
        <w:jc w:val="both"/>
        <w:rPr>
          <w:lang w:val="en-GB"/>
        </w:rPr>
      </w:pPr>
    </w:p>
    <w:p w14:paraId="4CD157BE" w14:textId="77777777" w:rsidR="00821266" w:rsidRDefault="00821266" w:rsidP="000E46B3">
      <w:pPr>
        <w:jc w:val="both"/>
        <w:rPr>
          <w:lang w:val="en-GB"/>
        </w:rPr>
      </w:pPr>
    </w:p>
    <w:p w14:paraId="607C79E6" w14:textId="77777777" w:rsidR="00821266" w:rsidRDefault="00821266" w:rsidP="000E46B3">
      <w:pPr>
        <w:jc w:val="both"/>
        <w:rPr>
          <w:lang w:val="en-GB"/>
        </w:rPr>
      </w:pPr>
    </w:p>
    <w:p w14:paraId="6FBB7E5A" w14:textId="77777777" w:rsidR="00821266" w:rsidRDefault="00821266" w:rsidP="000E46B3">
      <w:pPr>
        <w:jc w:val="both"/>
        <w:rPr>
          <w:lang w:val="en-GB"/>
        </w:rPr>
      </w:pPr>
    </w:p>
    <w:p w14:paraId="087B39DD" w14:textId="77777777" w:rsidR="00821266" w:rsidRDefault="00821266" w:rsidP="000E46B3">
      <w:pPr>
        <w:jc w:val="both"/>
        <w:rPr>
          <w:lang w:val="en-GB"/>
        </w:rPr>
      </w:pPr>
    </w:p>
    <w:p w14:paraId="6F70669B" w14:textId="77777777" w:rsidR="00821266" w:rsidRDefault="00821266" w:rsidP="000E46B3">
      <w:pPr>
        <w:jc w:val="both"/>
        <w:rPr>
          <w:lang w:val="en-GB"/>
        </w:rPr>
      </w:pPr>
    </w:p>
    <w:p w14:paraId="6AB8EF40" w14:textId="77777777" w:rsidR="00821266" w:rsidRDefault="00821266" w:rsidP="000E46B3">
      <w:pPr>
        <w:jc w:val="both"/>
        <w:rPr>
          <w:lang w:val="en-GB"/>
        </w:rPr>
      </w:pPr>
    </w:p>
    <w:p w14:paraId="6FBD28D2" w14:textId="77777777" w:rsidR="00821266" w:rsidRDefault="00821266" w:rsidP="000E46B3">
      <w:pPr>
        <w:jc w:val="both"/>
        <w:rPr>
          <w:lang w:val="en-GB"/>
        </w:rPr>
      </w:pPr>
    </w:p>
    <w:p w14:paraId="4CDEE235" w14:textId="77777777" w:rsidR="00821266" w:rsidRDefault="00821266" w:rsidP="000E46B3">
      <w:pPr>
        <w:jc w:val="both"/>
        <w:rPr>
          <w:lang w:val="en-GB"/>
        </w:rPr>
      </w:pPr>
    </w:p>
    <w:p w14:paraId="106B1AEF" w14:textId="77777777" w:rsidR="00821266" w:rsidRDefault="00821266" w:rsidP="000E46B3">
      <w:pPr>
        <w:jc w:val="both"/>
        <w:rPr>
          <w:lang w:val="en-GB"/>
        </w:rPr>
      </w:pPr>
    </w:p>
    <w:p w14:paraId="0BBF17F7" w14:textId="77777777" w:rsidR="00821266" w:rsidRDefault="00821266" w:rsidP="000E46B3">
      <w:pPr>
        <w:jc w:val="both"/>
        <w:rPr>
          <w:lang w:val="en-GB"/>
        </w:rPr>
      </w:pPr>
    </w:p>
    <w:p w14:paraId="56BC259C" w14:textId="77777777" w:rsidR="00821266" w:rsidRDefault="00821266" w:rsidP="000E46B3">
      <w:pPr>
        <w:jc w:val="both"/>
        <w:rPr>
          <w:lang w:val="en-GB"/>
        </w:rPr>
      </w:pPr>
    </w:p>
    <w:p w14:paraId="75D83C46" w14:textId="77777777" w:rsidR="00821266" w:rsidRDefault="00821266" w:rsidP="000E46B3">
      <w:pPr>
        <w:jc w:val="both"/>
        <w:rPr>
          <w:lang w:val="en-GB"/>
        </w:rPr>
      </w:pPr>
    </w:p>
    <w:p w14:paraId="5CBC2FB4" w14:textId="77777777" w:rsidR="00821266" w:rsidRDefault="00821266" w:rsidP="000E46B3">
      <w:pPr>
        <w:jc w:val="both"/>
        <w:rPr>
          <w:lang w:val="en-GB"/>
        </w:rPr>
      </w:pPr>
    </w:p>
    <w:p w14:paraId="3286C945" w14:textId="77777777" w:rsidR="00821266" w:rsidRDefault="00821266" w:rsidP="000E46B3">
      <w:pPr>
        <w:jc w:val="both"/>
        <w:rPr>
          <w:lang w:val="en-GB"/>
        </w:rPr>
      </w:pPr>
    </w:p>
    <w:p w14:paraId="060C5874" w14:textId="77777777" w:rsidR="00821266" w:rsidRDefault="00821266" w:rsidP="000E46B3">
      <w:pPr>
        <w:jc w:val="both"/>
        <w:rPr>
          <w:lang w:val="en-GB"/>
        </w:rPr>
      </w:pPr>
    </w:p>
    <w:p w14:paraId="6FC5447C" w14:textId="77777777" w:rsidR="00821266" w:rsidRDefault="00821266" w:rsidP="000E46B3">
      <w:pPr>
        <w:jc w:val="both"/>
        <w:rPr>
          <w:lang w:val="en-GB"/>
        </w:rPr>
      </w:pPr>
    </w:p>
    <w:p w14:paraId="42BEDC4C" w14:textId="77777777" w:rsidR="00821266" w:rsidRDefault="00821266" w:rsidP="000E46B3">
      <w:pPr>
        <w:jc w:val="both"/>
        <w:rPr>
          <w:lang w:val="en-GB"/>
        </w:rPr>
      </w:pPr>
    </w:p>
    <w:p w14:paraId="7E1ECB05" w14:textId="77777777" w:rsidR="00821266" w:rsidRDefault="00821266" w:rsidP="000E46B3">
      <w:pPr>
        <w:jc w:val="both"/>
        <w:rPr>
          <w:lang w:val="en-GB"/>
        </w:rPr>
      </w:pPr>
    </w:p>
    <w:p w14:paraId="2D235C66" w14:textId="77777777" w:rsidR="00821266" w:rsidRDefault="00821266" w:rsidP="000E46B3">
      <w:pPr>
        <w:jc w:val="both"/>
        <w:rPr>
          <w:lang w:val="en-GB"/>
        </w:rPr>
      </w:pPr>
    </w:p>
    <w:p w14:paraId="01D5C9C9" w14:textId="77777777" w:rsidR="006D4B30" w:rsidRPr="006D4B30" w:rsidRDefault="006D4B30" w:rsidP="006D4B30">
      <w:pPr>
        <w:jc w:val="both"/>
      </w:pPr>
      <w:r w:rsidRPr="006D4B30">
        <w:rPr>
          <w:b/>
        </w:rPr>
        <w:lastRenderedPageBreak/>
        <w:t>El confort del paciente como indicador de calidad asistencial: papel del Técnico en Cuidados Auxiliares de Enfermería</w:t>
      </w:r>
    </w:p>
    <w:p w14:paraId="01AACD02" w14:textId="77777777" w:rsidR="006D4B30" w:rsidRPr="006D4B30" w:rsidRDefault="006D4B30" w:rsidP="006D4B30">
      <w:pPr>
        <w:jc w:val="both"/>
        <w:rPr>
          <w:b/>
        </w:rPr>
      </w:pPr>
      <w:r w:rsidRPr="006D4B30">
        <w:rPr>
          <w:b/>
        </w:rPr>
        <w:t>Introducción</w:t>
      </w:r>
    </w:p>
    <w:p w14:paraId="108786EB" w14:textId="77777777" w:rsidR="006D4B30" w:rsidRPr="006D4B30" w:rsidRDefault="006D4B30" w:rsidP="006D4B30">
      <w:pPr>
        <w:jc w:val="both"/>
      </w:pPr>
      <w:r w:rsidRPr="006D4B30">
        <w:t>El confort del paciente constituye una dimensión esencial de la calidad asistencial y comprende el bienestar físico, psicológico, social y ambiental durante el proceso de atención sanitaria. Aunque los avances tecnológicos han permitido mejorar el diagnóstico y el tratamiento de numerosas enfermedades, la atención centrada en las necesidades básicas continúa siendo un elemento imprescindible para proporcionar cuidados humanizados.</w:t>
      </w:r>
    </w:p>
    <w:p w14:paraId="3A4FB0E5" w14:textId="77777777" w:rsidR="006D4B30" w:rsidRPr="006D4B30" w:rsidRDefault="006D4B30" w:rsidP="006D4B30">
      <w:pPr>
        <w:jc w:val="both"/>
      </w:pPr>
      <w:r w:rsidRPr="006D4B30">
        <w:t>El Técnico en Cuidados Auxiliares de Enfermería (TCAE) desempeña un papel fundamental en la promoción del confort mediante la realización de cuidados básicos, la observación continua y la atención personalizada. Actividades como la higiene, los cambios posturales, la preparación de la unidad del paciente, el mantenimiento del entorno o la ayuda en la alimentación influyen directamente en la percepción de bienestar y satisfacción del usuario.</w:t>
      </w:r>
    </w:p>
    <w:p w14:paraId="1E421701" w14:textId="77777777" w:rsidR="006D4B30" w:rsidRPr="006D4B30" w:rsidRDefault="006D4B30" w:rsidP="006D4B30">
      <w:pPr>
        <w:jc w:val="both"/>
      </w:pPr>
      <w:r w:rsidRPr="006D4B30">
        <w:t>Diversos estudios han demostrado que un adecuado nivel de confort favorece la recuperación, disminuye la ansiedad y mejora la experiencia del paciente durante su estancia en los centros sanitarios.</w:t>
      </w:r>
    </w:p>
    <w:p w14:paraId="68795282" w14:textId="77777777" w:rsidR="006D4B30" w:rsidRPr="006D4B30" w:rsidRDefault="006D4B30" w:rsidP="006D4B30">
      <w:pPr>
        <w:jc w:val="both"/>
        <w:rPr>
          <w:b/>
        </w:rPr>
      </w:pPr>
      <w:r w:rsidRPr="006D4B30">
        <w:rPr>
          <w:b/>
        </w:rPr>
        <w:t>Objetivo</w:t>
      </w:r>
    </w:p>
    <w:p w14:paraId="115F3A91" w14:textId="77777777" w:rsidR="006D4B30" w:rsidRPr="006D4B30" w:rsidRDefault="006D4B30" w:rsidP="006D4B30">
      <w:pPr>
        <w:jc w:val="both"/>
      </w:pPr>
      <w:r w:rsidRPr="006D4B30">
        <w:t>Analizar la importancia del confort del paciente como indicador de calidad asistencial y describir la contribución del TCAE en la promoción del bienestar durante la atención sanitaria.</w:t>
      </w:r>
    </w:p>
    <w:p w14:paraId="0D569163" w14:textId="77777777" w:rsidR="006D4B30" w:rsidRPr="006D4B30" w:rsidRDefault="006D4B30" w:rsidP="006D4B30">
      <w:pPr>
        <w:jc w:val="both"/>
        <w:rPr>
          <w:b/>
        </w:rPr>
      </w:pPr>
      <w:r w:rsidRPr="006D4B30">
        <w:rPr>
          <w:b/>
        </w:rPr>
        <w:t>Material y método</w:t>
      </w:r>
    </w:p>
    <w:p w14:paraId="4D144C18" w14:textId="77777777" w:rsidR="006D4B30" w:rsidRPr="006D4B30" w:rsidRDefault="006D4B30" w:rsidP="006D4B30">
      <w:pPr>
        <w:jc w:val="both"/>
      </w:pPr>
      <w:r w:rsidRPr="006D4B30">
        <w:t xml:space="preserve">Se realizó una revisión bibliográfica descriptiva mediante la consulta de artículos científicos, revisiones sistemáticas y manuales de cuidados publicados entre 2016 y 2025. Se revisaron las bases de datos PubMed, </w:t>
      </w:r>
      <w:proofErr w:type="spellStart"/>
      <w:r w:rsidRPr="006D4B30">
        <w:t>Scopus</w:t>
      </w:r>
      <w:proofErr w:type="spellEnd"/>
      <w:r w:rsidRPr="006D4B30">
        <w:t xml:space="preserve"> y Google Scholar, además de documentos de organismos nacionales e internacionales relacionados con la humanización de la asistencia sanitaria y los cuidados básicos.</w:t>
      </w:r>
    </w:p>
    <w:p w14:paraId="1EB8195A" w14:textId="77777777" w:rsidR="006D4B30" w:rsidRPr="006D4B30" w:rsidRDefault="006D4B30" w:rsidP="006D4B30">
      <w:pPr>
        <w:jc w:val="both"/>
      </w:pPr>
      <w:r w:rsidRPr="006D4B30">
        <w:t>Se seleccionaron estudios sobre confort del paciente, cuidados auxiliares, calidad asistencial y humanización de la atención.</w:t>
      </w:r>
    </w:p>
    <w:p w14:paraId="17B14300" w14:textId="77777777" w:rsidR="006D4B30" w:rsidRPr="006D4B30" w:rsidRDefault="006D4B30" w:rsidP="006D4B30">
      <w:pPr>
        <w:jc w:val="both"/>
        <w:rPr>
          <w:b/>
        </w:rPr>
      </w:pPr>
      <w:r w:rsidRPr="006D4B30">
        <w:rPr>
          <w:b/>
        </w:rPr>
        <w:t>Resultados</w:t>
      </w:r>
    </w:p>
    <w:p w14:paraId="06641E69" w14:textId="77777777" w:rsidR="006D4B30" w:rsidRPr="006D4B30" w:rsidRDefault="006D4B30" w:rsidP="006D4B30">
      <w:pPr>
        <w:jc w:val="both"/>
      </w:pPr>
      <w:r w:rsidRPr="006D4B30">
        <w:t xml:space="preserve">La evidencia científica indica que las intervenciones dirigidas a mejorar el confort del paciente producen beneficios tanto físicos como emocionales. El mantenimiento de una higiene adecuada, la correcta alineación corporal, el control de la temperatura ambiental, la reducción del ruido, el respeto al descanso y la </w:t>
      </w:r>
      <w:r w:rsidRPr="006D4B30">
        <w:lastRenderedPageBreak/>
        <w:t>atención individualizada disminuyen el malestar y favorecen una recuperación más satisfactoria.</w:t>
      </w:r>
    </w:p>
    <w:p w14:paraId="49EF5997" w14:textId="77777777" w:rsidR="006D4B30" w:rsidRPr="006D4B30" w:rsidRDefault="006D4B30" w:rsidP="006D4B30">
      <w:pPr>
        <w:jc w:val="both"/>
      </w:pPr>
      <w:r w:rsidRPr="006D4B30">
        <w:t>Los estudios destacan que el TCAE, debido a su contacto continuado con el paciente, puede identificar necesidades que no siempre son expresadas de forma directa, como molestias relacionadas con la postura, el cansancio, la sed, el frío o la necesidad de apoyo emocional.</w:t>
      </w:r>
    </w:p>
    <w:p w14:paraId="7E4CDF93" w14:textId="77777777" w:rsidR="006D4B30" w:rsidRPr="006D4B30" w:rsidRDefault="006D4B30" w:rsidP="006D4B30">
      <w:pPr>
        <w:jc w:val="both"/>
      </w:pPr>
      <w:r w:rsidRPr="006D4B30">
        <w:t>Asimismo, la adecuada preparación de la habitación, la conservación del orden, la limpieza del entorno y la disponibilidad del material necesario incrementan la seguridad y mejoran la percepción de calidad asistencial.</w:t>
      </w:r>
    </w:p>
    <w:p w14:paraId="662A15EB" w14:textId="77777777" w:rsidR="006D4B30" w:rsidRPr="006D4B30" w:rsidRDefault="006D4B30" w:rsidP="006D4B30">
      <w:pPr>
        <w:jc w:val="both"/>
      </w:pPr>
      <w:r w:rsidRPr="006D4B30">
        <w:t>La revisión también señala que la comunicación respetuosa, la preservación de la intimidad y la participación del paciente en los cuidados contribuyen significativamente a aumentar su satisfacción y confianza en el equipo sanitario.</w:t>
      </w:r>
    </w:p>
    <w:p w14:paraId="7797BA99" w14:textId="77777777" w:rsidR="006D4B30" w:rsidRPr="006D4B30" w:rsidRDefault="006D4B30" w:rsidP="006D4B30">
      <w:pPr>
        <w:jc w:val="both"/>
        <w:rPr>
          <w:b/>
        </w:rPr>
      </w:pPr>
      <w:r w:rsidRPr="006D4B30">
        <w:rPr>
          <w:b/>
        </w:rPr>
        <w:t>Conclusiones</w:t>
      </w:r>
    </w:p>
    <w:p w14:paraId="12DE84CF" w14:textId="77777777" w:rsidR="006D4B30" w:rsidRPr="006D4B30" w:rsidRDefault="006D4B30" w:rsidP="006D4B30">
      <w:pPr>
        <w:jc w:val="both"/>
      </w:pPr>
      <w:r w:rsidRPr="006D4B30">
        <w:t>El confort del paciente representa un componente esencial de la atención sanitaria de calidad y constituye una responsabilidad compartida por todo el equipo asistencial, siendo el TCAE uno de los profesionales con mayor capacidad para influir positivamente en este aspecto.</w:t>
      </w:r>
    </w:p>
    <w:p w14:paraId="7D99AB2C" w14:textId="77777777" w:rsidR="006D4B30" w:rsidRPr="006D4B30" w:rsidRDefault="006D4B30" w:rsidP="006D4B30">
      <w:pPr>
        <w:jc w:val="both"/>
      </w:pPr>
      <w:r w:rsidRPr="006D4B30">
        <w:t>La atención individualizada, la observación continua y la correcta ejecución de los cuidados básicos permiten mejorar el bienestar físico y emocional del paciente, favoreciendo una asistencia más segura y humanizada.</w:t>
      </w:r>
    </w:p>
    <w:p w14:paraId="0B48BD1C" w14:textId="77777777" w:rsidR="006D4B30" w:rsidRPr="006D4B30" w:rsidRDefault="006D4B30" w:rsidP="006D4B30">
      <w:pPr>
        <w:jc w:val="both"/>
      </w:pPr>
      <w:r w:rsidRPr="006D4B30">
        <w:t>Promover la formación continua del TCAE en cuidados centrados en la persona y humanización de la asistencia contribuye a incrementar la calidad de los servicios y la satisfacción de pacientes y familiares.</w:t>
      </w:r>
    </w:p>
    <w:p w14:paraId="008B940C" w14:textId="77777777" w:rsidR="006D4B30" w:rsidRPr="006D4B30" w:rsidRDefault="006D4B30" w:rsidP="006D4B30">
      <w:pPr>
        <w:jc w:val="both"/>
        <w:rPr>
          <w:b/>
        </w:rPr>
      </w:pPr>
      <w:r w:rsidRPr="006D4B30">
        <w:rPr>
          <w:b/>
        </w:rPr>
        <w:t>Bibliografía</w:t>
      </w:r>
    </w:p>
    <w:p w14:paraId="05BB3EAB" w14:textId="77777777" w:rsidR="006D4B30" w:rsidRPr="006D4B30" w:rsidRDefault="006D4B30" w:rsidP="006D4B30">
      <w:pPr>
        <w:numPr>
          <w:ilvl w:val="0"/>
          <w:numId w:val="85"/>
        </w:numPr>
        <w:jc w:val="both"/>
      </w:pPr>
      <w:r w:rsidRPr="006D4B30">
        <w:rPr>
          <w:lang w:val="en-GB"/>
        </w:rPr>
        <w:t xml:space="preserve">Katharine Kolcaba. (2003). *Comfort Theory and Practice: A Vision for Holistic Health Care and Research*. </w:t>
      </w:r>
      <w:r w:rsidRPr="006D4B30">
        <w:t>Springer Publishing.</w:t>
      </w:r>
    </w:p>
    <w:p w14:paraId="7B5FE356" w14:textId="77777777" w:rsidR="006D4B30" w:rsidRPr="006D4B30" w:rsidRDefault="006D4B30" w:rsidP="006D4B30">
      <w:pPr>
        <w:numPr>
          <w:ilvl w:val="0"/>
          <w:numId w:val="85"/>
        </w:numPr>
        <w:jc w:val="both"/>
        <w:rPr>
          <w:lang w:val="en-GB"/>
        </w:rPr>
      </w:pPr>
      <w:r w:rsidRPr="006D4B30">
        <w:t xml:space="preserve">Organización Mundial de la Salud. </w:t>
      </w:r>
      <w:r w:rsidRPr="006D4B30">
        <w:rPr>
          <w:lang w:val="en-GB"/>
        </w:rPr>
        <w:t>(2021). *Global Patient Safety Action Plan 2021–2030*.</w:t>
      </w:r>
    </w:p>
    <w:p w14:paraId="28A14EF1" w14:textId="77777777" w:rsidR="006D4B30" w:rsidRPr="006D4B30" w:rsidRDefault="006D4B30" w:rsidP="006D4B30">
      <w:pPr>
        <w:numPr>
          <w:ilvl w:val="0"/>
          <w:numId w:val="85"/>
        </w:numPr>
        <w:jc w:val="both"/>
      </w:pPr>
      <w:r w:rsidRPr="006D4B30">
        <w:t>Ministerio de Sanidad. *Estrategia de Humanización del Sistema Nacional de Salud</w:t>
      </w:r>
      <w:proofErr w:type="gramStart"/>
      <w:r w:rsidRPr="006D4B30">
        <w:t>*.*</w:t>
      </w:r>
      <w:proofErr w:type="gramEnd"/>
      <w:r w:rsidRPr="006D4B30">
        <w:t xml:space="preserve"> Instituto Nacional de Gestión Sanitaria. *Manual de Técnicos en Cuidados Auxiliares de Enfermería*.</w:t>
      </w:r>
    </w:p>
    <w:p w14:paraId="4F5E2EF8" w14:textId="77777777" w:rsidR="006D4B30" w:rsidRDefault="006D4B30" w:rsidP="006D4B30">
      <w:pPr>
        <w:numPr>
          <w:ilvl w:val="0"/>
          <w:numId w:val="85"/>
        </w:numPr>
        <w:jc w:val="both"/>
      </w:pPr>
      <w:proofErr w:type="spellStart"/>
      <w:r w:rsidRPr="006D4B30">
        <w:rPr>
          <w:lang w:val="en-GB"/>
        </w:rPr>
        <w:t>Kolcaba</w:t>
      </w:r>
      <w:proofErr w:type="spellEnd"/>
      <w:r w:rsidRPr="006D4B30">
        <w:rPr>
          <w:lang w:val="en-GB"/>
        </w:rPr>
        <w:t xml:space="preserve">, K., Tilton, C., &amp; Drouin, C. (2006). Comfort Theory: A Unifying Framework to Enhance the Practice Environment. </w:t>
      </w:r>
      <w:r w:rsidRPr="006D4B30">
        <w:t>*</w:t>
      </w:r>
      <w:proofErr w:type="spellStart"/>
      <w:r w:rsidRPr="006D4B30">
        <w:t>Journal</w:t>
      </w:r>
      <w:proofErr w:type="spellEnd"/>
      <w:r w:rsidRPr="006D4B30">
        <w:t xml:space="preserve"> </w:t>
      </w:r>
      <w:proofErr w:type="spellStart"/>
      <w:r w:rsidRPr="006D4B30">
        <w:t>of</w:t>
      </w:r>
      <w:proofErr w:type="spellEnd"/>
      <w:r w:rsidRPr="006D4B30">
        <w:t xml:space="preserve"> </w:t>
      </w:r>
      <w:proofErr w:type="spellStart"/>
      <w:r w:rsidRPr="006D4B30">
        <w:t>Nursing</w:t>
      </w:r>
      <w:proofErr w:type="spellEnd"/>
      <w:r w:rsidRPr="006D4B30">
        <w:t xml:space="preserve"> </w:t>
      </w:r>
      <w:proofErr w:type="spellStart"/>
      <w:r w:rsidRPr="006D4B30">
        <w:t>Administration</w:t>
      </w:r>
      <w:proofErr w:type="spellEnd"/>
      <w:r w:rsidRPr="006D4B30">
        <w:t>*, 36(11), 538–544.</w:t>
      </w:r>
    </w:p>
    <w:p w14:paraId="4F0A1AFC" w14:textId="77777777" w:rsidR="006D4B30" w:rsidRDefault="006D4B30" w:rsidP="006D4B30">
      <w:pPr>
        <w:jc w:val="both"/>
      </w:pPr>
    </w:p>
    <w:p w14:paraId="48EC652C" w14:textId="77777777" w:rsidR="0037414E" w:rsidRPr="0037414E" w:rsidRDefault="0037414E" w:rsidP="0037414E">
      <w:pPr>
        <w:jc w:val="both"/>
      </w:pPr>
      <w:r w:rsidRPr="0037414E">
        <w:rPr>
          <w:b/>
        </w:rPr>
        <w:lastRenderedPageBreak/>
        <w:t>La continuidad de los cuidados: contribución del Técnico en Cuidados Auxiliares de Enfermería a una atención segura y de calidad</w:t>
      </w:r>
    </w:p>
    <w:p w14:paraId="2FF22F90" w14:textId="77777777" w:rsidR="0037414E" w:rsidRPr="0037414E" w:rsidRDefault="0037414E" w:rsidP="0037414E">
      <w:pPr>
        <w:jc w:val="both"/>
        <w:rPr>
          <w:b/>
        </w:rPr>
      </w:pPr>
      <w:r w:rsidRPr="0037414E">
        <w:rPr>
          <w:b/>
        </w:rPr>
        <w:t>Introducción</w:t>
      </w:r>
    </w:p>
    <w:p w14:paraId="79177456" w14:textId="77777777" w:rsidR="0037414E" w:rsidRPr="0037414E" w:rsidRDefault="0037414E" w:rsidP="0037414E">
      <w:pPr>
        <w:jc w:val="both"/>
      </w:pPr>
      <w:r w:rsidRPr="0037414E">
        <w:t>La continuidad de los cuidados es un principio fundamental de la asistencia sanitaria que garantiza que el paciente reciba una atención coordinada, coherente y adaptada a sus necesidades a lo largo de todo el proceso asistencial. La colaboración entre los diferentes profesionales permite evitar interrupciones en los cuidados, reducir errores y mejorar la experiencia del paciente.</w:t>
      </w:r>
    </w:p>
    <w:p w14:paraId="13D6FCF5" w14:textId="77777777" w:rsidR="0037414E" w:rsidRPr="0037414E" w:rsidRDefault="0037414E" w:rsidP="0037414E">
      <w:pPr>
        <w:jc w:val="both"/>
      </w:pPr>
      <w:r w:rsidRPr="0037414E">
        <w:t>Dentro del equipo multidisciplinar, el Técnico en Cuidados Auxiliares de Enfermería (TCAE) desempeña un papel esencial al proporcionar cuidados básicos, observar la evolución del paciente y transmitir información relevante al personal de enfermería y al resto del equipo. Su presencia continuada junto al paciente le permite detectar necesidades, cambios en su estado general y dificultades que pueden influir en la planificación de los cuidados.</w:t>
      </w:r>
    </w:p>
    <w:p w14:paraId="39B30444" w14:textId="77777777" w:rsidR="0037414E" w:rsidRPr="0037414E" w:rsidRDefault="0037414E" w:rsidP="0037414E">
      <w:pPr>
        <w:jc w:val="both"/>
      </w:pPr>
      <w:r w:rsidRPr="0037414E">
        <w:t>La adecuada coordinación entre profesionales favorece una atención más eficiente y contribuye a mejorar los resultados en salud.</w:t>
      </w:r>
    </w:p>
    <w:p w14:paraId="23B78690" w14:textId="77777777" w:rsidR="0037414E" w:rsidRPr="0037414E" w:rsidRDefault="0037414E" w:rsidP="0037414E">
      <w:pPr>
        <w:jc w:val="both"/>
        <w:rPr>
          <w:b/>
        </w:rPr>
      </w:pPr>
      <w:r w:rsidRPr="0037414E">
        <w:rPr>
          <w:b/>
        </w:rPr>
        <w:t>Objetivo</w:t>
      </w:r>
    </w:p>
    <w:p w14:paraId="52B1FE54" w14:textId="77777777" w:rsidR="0037414E" w:rsidRPr="0037414E" w:rsidRDefault="0037414E" w:rsidP="0037414E">
      <w:pPr>
        <w:jc w:val="both"/>
      </w:pPr>
      <w:r w:rsidRPr="0037414E">
        <w:t>Analizar la importancia de la continuidad de los cuidados y describir la contribución del TCAE a la seguridad del paciente y a la calidad asistencial mediante una adecuada coordinación con el equipo sanitario.</w:t>
      </w:r>
    </w:p>
    <w:p w14:paraId="1176C951" w14:textId="77777777" w:rsidR="0037414E" w:rsidRPr="0037414E" w:rsidRDefault="0037414E" w:rsidP="0037414E">
      <w:pPr>
        <w:jc w:val="both"/>
        <w:rPr>
          <w:b/>
        </w:rPr>
      </w:pPr>
      <w:r w:rsidRPr="0037414E">
        <w:rPr>
          <w:b/>
        </w:rPr>
        <w:t>Material y método</w:t>
      </w:r>
    </w:p>
    <w:p w14:paraId="1515D204" w14:textId="77777777" w:rsidR="0037414E" w:rsidRPr="0037414E" w:rsidRDefault="0037414E" w:rsidP="0037414E">
      <w:pPr>
        <w:jc w:val="both"/>
      </w:pPr>
      <w:r w:rsidRPr="0037414E">
        <w:t xml:space="preserve">Se realizó una revisión bibliográfica descriptiva mediante la consulta de artículos científicos, revisiones narrativas y documentos técnicos publicados entre 2016 y 2025. Se revisaron las bases de datos PubMed, </w:t>
      </w:r>
      <w:proofErr w:type="spellStart"/>
      <w:r w:rsidRPr="0037414E">
        <w:t>Scopus</w:t>
      </w:r>
      <w:proofErr w:type="spellEnd"/>
      <w:r w:rsidRPr="0037414E">
        <w:t xml:space="preserve"> y Google Scholar, así como documentos elaborados por organismos nacionales e internacionales relacionados con la seguridad del paciente, la continuidad asistencial y el trabajo interdisciplinar.</w:t>
      </w:r>
    </w:p>
    <w:p w14:paraId="01268FAA" w14:textId="77777777" w:rsidR="0037414E" w:rsidRPr="0037414E" w:rsidRDefault="0037414E" w:rsidP="0037414E">
      <w:pPr>
        <w:jc w:val="both"/>
      </w:pPr>
      <w:r w:rsidRPr="0037414E">
        <w:t>Se seleccionaron publicaciones que abordaban el papel de los cuidados auxiliares en la coordinación asistencial y la comunicación entre profesionales.</w:t>
      </w:r>
    </w:p>
    <w:p w14:paraId="3F6226AE" w14:textId="77777777" w:rsidR="0037414E" w:rsidRPr="0037414E" w:rsidRDefault="0037414E" w:rsidP="0037414E">
      <w:pPr>
        <w:jc w:val="both"/>
        <w:rPr>
          <w:b/>
        </w:rPr>
      </w:pPr>
      <w:r w:rsidRPr="0037414E">
        <w:rPr>
          <w:b/>
        </w:rPr>
        <w:t>Resultados</w:t>
      </w:r>
    </w:p>
    <w:p w14:paraId="3372A459" w14:textId="77777777" w:rsidR="0037414E" w:rsidRPr="0037414E" w:rsidRDefault="0037414E" w:rsidP="0037414E">
      <w:pPr>
        <w:jc w:val="both"/>
      </w:pPr>
      <w:r w:rsidRPr="0037414E">
        <w:t>La evidencia científica indica que una adecuada continuidad de los cuidados reduce la aparición de eventos adversos, favorece la recuperación del paciente y mejora la satisfacción tanto de los usuarios como de los profesionales.</w:t>
      </w:r>
    </w:p>
    <w:p w14:paraId="5017C60B" w14:textId="77777777" w:rsidR="0037414E" w:rsidRPr="0037414E" w:rsidRDefault="0037414E" w:rsidP="0037414E">
      <w:pPr>
        <w:jc w:val="both"/>
      </w:pPr>
      <w:r w:rsidRPr="0037414E">
        <w:t xml:space="preserve">Los estudios muestran que el TCAE contribuye a este proceso mediante la observación continuada del paciente, la correcta ejecución de los cuidados </w:t>
      </w:r>
      <w:r w:rsidRPr="0037414E">
        <w:lastRenderedPageBreak/>
        <w:t>básicos, el registro de las actividades realizadas y la comunicación inmediata de cualquier cambio relevante en el estado físico, funcional o emocional.</w:t>
      </w:r>
    </w:p>
    <w:p w14:paraId="3B157A6C" w14:textId="77777777" w:rsidR="0037414E" w:rsidRPr="0037414E" w:rsidRDefault="0037414E" w:rsidP="0037414E">
      <w:pPr>
        <w:jc w:val="both"/>
      </w:pPr>
      <w:r w:rsidRPr="0037414E">
        <w:t>Asimismo, la transmisión precisa de información durante los cambios de turno y la colaboración permanente con el personal de enfermería facilitan la planificación de intervenciones individualizadas y disminuyen el riesgo de omitir cuidados importantes.</w:t>
      </w:r>
    </w:p>
    <w:p w14:paraId="420666B0" w14:textId="77777777" w:rsidR="0037414E" w:rsidRPr="0037414E" w:rsidRDefault="0037414E" w:rsidP="0037414E">
      <w:pPr>
        <w:jc w:val="both"/>
      </w:pPr>
      <w:r w:rsidRPr="0037414E">
        <w:t>La literatura también destaca que el conocimiento de los protocolos asistenciales, la estandarización de los registros y el uso adecuado de los sistemas de información favorecen una mayor coordinación entre los distintos profesionales implicados en la atención.</w:t>
      </w:r>
    </w:p>
    <w:p w14:paraId="0A9E4588" w14:textId="77777777" w:rsidR="0037414E" w:rsidRPr="0037414E" w:rsidRDefault="0037414E" w:rsidP="0037414E">
      <w:pPr>
        <w:jc w:val="both"/>
      </w:pPr>
      <w:r w:rsidRPr="0037414E">
        <w:t>Además, el trato cercano que mantiene el TCAE con el paciente y su familia permite identificar necesidades no detectadas inicialmente, mejorando la atención centrada en la persona.</w:t>
      </w:r>
    </w:p>
    <w:p w14:paraId="74DE32D7" w14:textId="77777777" w:rsidR="0037414E" w:rsidRPr="0037414E" w:rsidRDefault="0037414E" w:rsidP="0037414E">
      <w:pPr>
        <w:jc w:val="both"/>
        <w:rPr>
          <w:b/>
        </w:rPr>
      </w:pPr>
      <w:r w:rsidRPr="0037414E">
        <w:rPr>
          <w:b/>
        </w:rPr>
        <w:t>Conclusiones</w:t>
      </w:r>
    </w:p>
    <w:p w14:paraId="0B516A67" w14:textId="77777777" w:rsidR="0037414E" w:rsidRPr="0037414E" w:rsidRDefault="0037414E" w:rsidP="0037414E">
      <w:pPr>
        <w:jc w:val="both"/>
      </w:pPr>
      <w:r w:rsidRPr="0037414E">
        <w:t>El TCAE desempeña un papel imprescindible en la continuidad de los cuidados gracias a su contacto permanente con el paciente y a su capacidad para colaborar activamente con el resto del equipo asistencial.</w:t>
      </w:r>
    </w:p>
    <w:p w14:paraId="4D6BB47A" w14:textId="77777777" w:rsidR="0037414E" w:rsidRPr="0037414E" w:rsidRDefault="0037414E" w:rsidP="0037414E">
      <w:pPr>
        <w:jc w:val="both"/>
      </w:pPr>
      <w:r w:rsidRPr="0037414E">
        <w:t>La observación sistemática, la comunicación eficaz y el cumplimiento de los protocolos de trabajo contribuyen a ofrecer una atención más segura, coordinada y de mayor calidad.</w:t>
      </w:r>
    </w:p>
    <w:p w14:paraId="37F79BF7" w14:textId="77777777" w:rsidR="0037414E" w:rsidRPr="0037414E" w:rsidRDefault="0037414E" w:rsidP="0037414E">
      <w:pPr>
        <w:jc w:val="both"/>
      </w:pPr>
      <w:r w:rsidRPr="0037414E">
        <w:t xml:space="preserve">Potenciar la formación, la comunicación interdisciplinar y la </w:t>
      </w:r>
      <w:proofErr w:type="gramStart"/>
      <w:r w:rsidRPr="0037414E">
        <w:t>participación activa</w:t>
      </w:r>
      <w:proofErr w:type="gramEnd"/>
      <w:r w:rsidRPr="0037414E">
        <w:t xml:space="preserve"> del TCAE en los procesos asistenciales fortalece la continuidad de los cuidados y mejora los resultados clínicos y la satisfacción de los pacientes.</w:t>
      </w:r>
    </w:p>
    <w:p w14:paraId="31271EEF" w14:textId="77777777" w:rsidR="0037414E" w:rsidRPr="0037414E" w:rsidRDefault="0037414E" w:rsidP="0037414E">
      <w:pPr>
        <w:jc w:val="both"/>
        <w:rPr>
          <w:b/>
        </w:rPr>
      </w:pPr>
      <w:r w:rsidRPr="0037414E">
        <w:rPr>
          <w:b/>
        </w:rPr>
        <w:t>Bibliografía</w:t>
      </w:r>
    </w:p>
    <w:p w14:paraId="44DA8640" w14:textId="77777777" w:rsidR="0037414E" w:rsidRPr="0037414E" w:rsidRDefault="0037414E" w:rsidP="0037414E">
      <w:pPr>
        <w:numPr>
          <w:ilvl w:val="0"/>
          <w:numId w:val="86"/>
        </w:numPr>
        <w:jc w:val="both"/>
      </w:pPr>
      <w:r w:rsidRPr="0037414E">
        <w:t xml:space="preserve">Organización Mundial de la Salud. </w:t>
      </w:r>
      <w:r w:rsidRPr="0037414E">
        <w:rPr>
          <w:lang w:val="en-GB"/>
        </w:rPr>
        <w:t>(2021). *Global Patient Safety Action Plan 2021–2030</w:t>
      </w:r>
      <w:proofErr w:type="gramStart"/>
      <w:r w:rsidRPr="0037414E">
        <w:rPr>
          <w:lang w:val="en-GB"/>
        </w:rPr>
        <w:t>*.*</w:t>
      </w:r>
      <w:proofErr w:type="gramEnd"/>
      <w:r w:rsidRPr="0037414E">
        <w:rPr>
          <w:lang w:val="en-GB"/>
        </w:rPr>
        <w:t xml:space="preserve"> </w:t>
      </w:r>
      <w:r w:rsidRPr="0037414E">
        <w:t>Ministerio de Sanidad. *Estrategia para la Seguridad del Paciente del Sistema Nacional de Salud*.</w:t>
      </w:r>
    </w:p>
    <w:p w14:paraId="0E5D0D69" w14:textId="77777777" w:rsidR="0037414E" w:rsidRPr="0037414E" w:rsidRDefault="0037414E" w:rsidP="0037414E">
      <w:pPr>
        <w:numPr>
          <w:ilvl w:val="0"/>
          <w:numId w:val="86"/>
        </w:numPr>
        <w:jc w:val="both"/>
      </w:pPr>
      <w:r w:rsidRPr="0037414E">
        <w:t>Instituto Nacional de Gestión Sanitaria. *Manual de Técnicos en Cuidados Auxiliares de Enfermería*.</w:t>
      </w:r>
    </w:p>
    <w:p w14:paraId="22D8258D" w14:textId="77777777" w:rsidR="0037414E" w:rsidRPr="0037414E" w:rsidRDefault="0037414E" w:rsidP="0037414E">
      <w:pPr>
        <w:numPr>
          <w:ilvl w:val="0"/>
          <w:numId w:val="86"/>
        </w:numPr>
        <w:jc w:val="both"/>
      </w:pPr>
      <w:r w:rsidRPr="0037414E">
        <w:rPr>
          <w:lang w:val="en-GB"/>
        </w:rPr>
        <w:t xml:space="preserve">Agency for Healthcare Research and Quality. </w:t>
      </w:r>
      <w:r w:rsidRPr="0037414E">
        <w:t xml:space="preserve">*Care </w:t>
      </w:r>
      <w:proofErr w:type="spellStart"/>
      <w:r w:rsidRPr="0037414E">
        <w:t>Coordination</w:t>
      </w:r>
      <w:proofErr w:type="spellEnd"/>
      <w:r w:rsidRPr="0037414E">
        <w:t xml:space="preserve"> Measures Atlas*.</w:t>
      </w:r>
    </w:p>
    <w:p w14:paraId="592552BC" w14:textId="77777777" w:rsidR="0037414E" w:rsidRPr="0037414E" w:rsidRDefault="0037414E" w:rsidP="0037414E">
      <w:pPr>
        <w:numPr>
          <w:ilvl w:val="0"/>
          <w:numId w:val="86"/>
        </w:numPr>
        <w:jc w:val="both"/>
      </w:pPr>
      <w:r w:rsidRPr="0037414E">
        <w:rPr>
          <w:lang w:val="en-GB"/>
        </w:rPr>
        <w:t xml:space="preserve">Haggerty, J. L., Reid, R. J., Freeman, G. K., et al. (2003). Continuity of care: A multidisciplinary review. </w:t>
      </w:r>
      <w:r w:rsidRPr="0037414E">
        <w:t>*BMJ*, 327(7425), 1219–1221.</w:t>
      </w:r>
    </w:p>
    <w:p w14:paraId="6C1501CE" w14:textId="77777777" w:rsidR="006D4B30" w:rsidRPr="006D4B30" w:rsidRDefault="006D4B30" w:rsidP="006D4B30">
      <w:pPr>
        <w:jc w:val="both"/>
      </w:pPr>
    </w:p>
    <w:p w14:paraId="0426A741" w14:textId="77777777" w:rsidR="00D8551A" w:rsidRPr="00D8551A" w:rsidRDefault="00D8551A" w:rsidP="00D8551A">
      <w:pPr>
        <w:jc w:val="both"/>
      </w:pPr>
      <w:r w:rsidRPr="00D8551A">
        <w:rPr>
          <w:b/>
        </w:rPr>
        <w:lastRenderedPageBreak/>
        <w:t>Prevención de las lesiones cutáneas: papel del Técnico en Cuidados Auxiliares de Enfermería en el cuidado integral del paciente</w:t>
      </w:r>
    </w:p>
    <w:p w14:paraId="59EB0EAD" w14:textId="77777777" w:rsidR="00D8551A" w:rsidRPr="00D8551A" w:rsidRDefault="00D8551A" w:rsidP="00D8551A">
      <w:pPr>
        <w:jc w:val="both"/>
        <w:rPr>
          <w:b/>
        </w:rPr>
      </w:pPr>
      <w:r w:rsidRPr="00D8551A">
        <w:rPr>
          <w:b/>
        </w:rPr>
        <w:t>Introducción</w:t>
      </w:r>
    </w:p>
    <w:p w14:paraId="299EE72E" w14:textId="77777777" w:rsidR="00D8551A" w:rsidRPr="00D8551A" w:rsidRDefault="00D8551A" w:rsidP="00D8551A">
      <w:pPr>
        <w:jc w:val="both"/>
      </w:pPr>
      <w:r w:rsidRPr="00D8551A">
        <w:t>La piel constituye la primera barrera de protección frente a agentes físicos, químicos y biológicos. Su integridad resulta indispensable para mantener la salud, prevenir infecciones y favorecer el bienestar de las personas. Los pacientes hospitalizados, las personas mayores y aquellos con movilidad reducida presentan un mayor riesgo de desarrollar lesiones cutáneas debido a factores como la presión mantenida, la humedad, la fricción, la desnutrición o determinadas patologías.</w:t>
      </w:r>
    </w:p>
    <w:p w14:paraId="50178B81" w14:textId="77777777" w:rsidR="00D8551A" w:rsidRPr="00D8551A" w:rsidRDefault="00D8551A" w:rsidP="00D8551A">
      <w:pPr>
        <w:jc w:val="both"/>
      </w:pPr>
      <w:r w:rsidRPr="00D8551A">
        <w:t>El Técnico en Cuidados Auxiliares de Enfermería (TCAE) participa de forma activa en la prevención de estas lesiones mediante la realización de cuidados básicos, la observación continua del estado de la piel y la colaboración con el personal de enfermería en la aplicación de medidas preventivas.</w:t>
      </w:r>
    </w:p>
    <w:p w14:paraId="324FABC1" w14:textId="77777777" w:rsidR="00D8551A" w:rsidRPr="00D8551A" w:rsidRDefault="00D8551A" w:rsidP="00D8551A">
      <w:pPr>
        <w:jc w:val="both"/>
      </w:pPr>
      <w:r w:rsidRPr="00D8551A">
        <w:t>La detección precoz de alteraciones cutáneas permite intervenir antes de que evolucionen hacia lesiones de mayor gravedad, contribuyendo a mejorar la seguridad y la calidad de los cuidados.</w:t>
      </w:r>
    </w:p>
    <w:p w14:paraId="357CE76D" w14:textId="77777777" w:rsidR="00D8551A" w:rsidRPr="00D8551A" w:rsidRDefault="00D8551A" w:rsidP="00D8551A">
      <w:pPr>
        <w:jc w:val="both"/>
        <w:rPr>
          <w:b/>
        </w:rPr>
      </w:pPr>
      <w:r w:rsidRPr="00D8551A">
        <w:rPr>
          <w:b/>
        </w:rPr>
        <w:t>Objetivo</w:t>
      </w:r>
    </w:p>
    <w:p w14:paraId="13C7120C" w14:textId="77777777" w:rsidR="00D8551A" w:rsidRPr="00D8551A" w:rsidRDefault="00D8551A" w:rsidP="00D8551A">
      <w:pPr>
        <w:jc w:val="both"/>
      </w:pPr>
      <w:r w:rsidRPr="00D8551A">
        <w:t>Analizar la importancia de la prevención de las lesiones cutáneas y describir las intervenciones del TCAE para mantener la integridad de la piel y reducir la aparición de complicaciones.</w:t>
      </w:r>
    </w:p>
    <w:p w14:paraId="570C1AD8" w14:textId="77777777" w:rsidR="00D8551A" w:rsidRPr="00D8551A" w:rsidRDefault="00D8551A" w:rsidP="00D8551A">
      <w:pPr>
        <w:jc w:val="both"/>
        <w:rPr>
          <w:b/>
        </w:rPr>
      </w:pPr>
      <w:r w:rsidRPr="00D8551A">
        <w:rPr>
          <w:b/>
        </w:rPr>
        <w:t>Material y método</w:t>
      </w:r>
    </w:p>
    <w:p w14:paraId="066EAB10" w14:textId="77777777" w:rsidR="00D8551A" w:rsidRPr="00D8551A" w:rsidRDefault="00D8551A" w:rsidP="00D8551A">
      <w:pPr>
        <w:jc w:val="both"/>
      </w:pPr>
      <w:r w:rsidRPr="00D8551A">
        <w:t xml:space="preserve">Se realizó una revisión bibliográfica descriptiva mediante la consulta de artículos científicos, revisiones sistemáticas y guías de práctica clínica publicadas entre 2016 y 2025. Se revisaron las bases de datos PubMed, </w:t>
      </w:r>
      <w:proofErr w:type="spellStart"/>
      <w:r w:rsidRPr="00D8551A">
        <w:t>Scopus</w:t>
      </w:r>
      <w:proofErr w:type="spellEnd"/>
      <w:r w:rsidRPr="00D8551A">
        <w:t xml:space="preserve"> y Google Scholar, así como documentos elaborados por organismos especializados en el cuidado de heridas y la seguridad del paciente.</w:t>
      </w:r>
    </w:p>
    <w:p w14:paraId="5EA52914" w14:textId="77777777" w:rsidR="00D8551A" w:rsidRPr="00D8551A" w:rsidRDefault="00D8551A" w:rsidP="00D8551A">
      <w:pPr>
        <w:jc w:val="both"/>
      </w:pPr>
      <w:r w:rsidRPr="00D8551A">
        <w:t>Se seleccionaron publicaciones relacionadas con la prevención de lesiones cutáneas, cuidados básicos de la piel y funciones del TCAE en pacientes hospitalizados y dependientes.</w:t>
      </w:r>
    </w:p>
    <w:p w14:paraId="0125BAD0" w14:textId="77777777" w:rsidR="00D8551A" w:rsidRPr="00D8551A" w:rsidRDefault="00D8551A" w:rsidP="00D8551A">
      <w:pPr>
        <w:jc w:val="both"/>
        <w:rPr>
          <w:b/>
        </w:rPr>
      </w:pPr>
      <w:r w:rsidRPr="00D8551A">
        <w:rPr>
          <w:b/>
        </w:rPr>
        <w:t>Resultados</w:t>
      </w:r>
    </w:p>
    <w:p w14:paraId="1F7C692C" w14:textId="77777777" w:rsidR="00D8551A" w:rsidRPr="00D8551A" w:rsidRDefault="00D8551A" w:rsidP="00D8551A">
      <w:pPr>
        <w:jc w:val="both"/>
      </w:pPr>
      <w:r w:rsidRPr="00D8551A">
        <w:t>La evidencia científica demuestra que la aplicación sistemática de medidas preventivas disminuye de forma significativa la incidencia de lesiones cutáneas, especialmente las lesiones por presión y las asociadas a la humedad.</w:t>
      </w:r>
    </w:p>
    <w:p w14:paraId="02DB8BE4" w14:textId="77777777" w:rsidR="00D8551A" w:rsidRPr="00D8551A" w:rsidRDefault="00D8551A" w:rsidP="00D8551A">
      <w:pPr>
        <w:jc w:val="both"/>
      </w:pPr>
      <w:r w:rsidRPr="00D8551A">
        <w:t xml:space="preserve">Los estudios destacan que el TCAE desempeña un papel esencial mediante la higiene adecuada de la piel, el secado cuidadoso de los pliegues cutáneos, la </w:t>
      </w:r>
      <w:r w:rsidRPr="00D8551A">
        <w:lastRenderedPageBreak/>
        <w:t>hidratación con productos indicados por el protocolo del centro y la observación diaria de zonas de riesgo como sacro, talones, caderas, codos y omóplatos.</w:t>
      </w:r>
    </w:p>
    <w:p w14:paraId="3B924CB5" w14:textId="77777777" w:rsidR="00D8551A" w:rsidRPr="00D8551A" w:rsidRDefault="00D8551A" w:rsidP="00D8551A">
      <w:pPr>
        <w:jc w:val="both"/>
      </w:pPr>
      <w:r w:rsidRPr="00D8551A">
        <w:t>Asimismo, la colaboración en los cambios posturales programados, el mantenimiento de la ropa de cama limpia, seca y sin arrugas, y la utilización correcta de dispositivos para aliviar la presión contribuyen a preservar la integridad cutánea.</w:t>
      </w:r>
    </w:p>
    <w:p w14:paraId="769597A7" w14:textId="77777777" w:rsidR="00D8551A" w:rsidRPr="00D8551A" w:rsidRDefault="00D8551A" w:rsidP="00D8551A">
      <w:pPr>
        <w:jc w:val="both"/>
      </w:pPr>
      <w:r w:rsidRPr="00D8551A">
        <w:t>La literatura científica también resalta la importancia de comunicar de forma inmediata cualquier enrojecimiento persistente, ampolla, herida o cambio en el estado de la piel para facilitar una valoración precoz por parte del personal de enfermería.</w:t>
      </w:r>
    </w:p>
    <w:p w14:paraId="63E7DD4C" w14:textId="77777777" w:rsidR="00D8551A" w:rsidRPr="00D8551A" w:rsidRDefault="00D8551A" w:rsidP="00D8551A">
      <w:pPr>
        <w:jc w:val="both"/>
      </w:pPr>
      <w:r w:rsidRPr="00D8551A">
        <w:t>Además, la educación al paciente y a sus cuidadores sobre los cuidados básicos de la piel favorece la continuidad de las medidas preventivas tras el alta hospitalaria.</w:t>
      </w:r>
    </w:p>
    <w:p w14:paraId="5121A1B9" w14:textId="77777777" w:rsidR="00D8551A" w:rsidRPr="00D8551A" w:rsidRDefault="00D8551A" w:rsidP="00D8551A">
      <w:pPr>
        <w:jc w:val="both"/>
        <w:rPr>
          <w:b/>
        </w:rPr>
      </w:pPr>
      <w:r w:rsidRPr="00D8551A">
        <w:rPr>
          <w:b/>
        </w:rPr>
        <w:t>Conclusiones</w:t>
      </w:r>
    </w:p>
    <w:p w14:paraId="12460C61" w14:textId="77777777" w:rsidR="00D8551A" w:rsidRPr="00D8551A" w:rsidRDefault="00D8551A" w:rsidP="00D8551A">
      <w:pPr>
        <w:jc w:val="both"/>
      </w:pPr>
      <w:r w:rsidRPr="00D8551A">
        <w:t>La prevención de las lesiones cutáneas constituye una responsabilidad compartida del equipo asistencial, siendo el TCAE un profesional clave por su contacto continuo con el paciente y su participación en los cuidados básicos.</w:t>
      </w:r>
    </w:p>
    <w:p w14:paraId="2455945F" w14:textId="77777777" w:rsidR="00D8551A" w:rsidRPr="00D8551A" w:rsidRDefault="00D8551A" w:rsidP="00D8551A">
      <w:pPr>
        <w:jc w:val="both"/>
      </w:pPr>
      <w:r w:rsidRPr="00D8551A">
        <w:t>La observación sistemática, la aplicación de medidas preventivas y la comunicación precoz de cualquier alteración permiten reducir complicaciones, mejorar el confort del paciente y favorecer una recuperación más segura.</w:t>
      </w:r>
    </w:p>
    <w:p w14:paraId="0229BDA8" w14:textId="77777777" w:rsidR="00D8551A" w:rsidRPr="00D8551A" w:rsidRDefault="00D8551A" w:rsidP="00D8551A">
      <w:pPr>
        <w:jc w:val="both"/>
      </w:pPr>
      <w:r w:rsidRPr="00D8551A">
        <w:t>La formación continuada del TCAE en el cuidado de la piel y en la prevención de lesiones fortalece la calidad asistencial y contribuye a una atención centrada en las necesidades de la persona.</w:t>
      </w:r>
    </w:p>
    <w:p w14:paraId="165D91E7" w14:textId="77777777" w:rsidR="00D8551A" w:rsidRPr="00D8551A" w:rsidRDefault="00D8551A" w:rsidP="00D8551A">
      <w:pPr>
        <w:jc w:val="both"/>
        <w:rPr>
          <w:b/>
        </w:rPr>
      </w:pPr>
      <w:r w:rsidRPr="00D8551A">
        <w:rPr>
          <w:b/>
        </w:rPr>
        <w:t>Bibliografía</w:t>
      </w:r>
    </w:p>
    <w:p w14:paraId="1EB3036B" w14:textId="77777777" w:rsidR="00D8551A" w:rsidRPr="00D8551A" w:rsidRDefault="00D8551A" w:rsidP="00D8551A">
      <w:pPr>
        <w:numPr>
          <w:ilvl w:val="0"/>
          <w:numId w:val="87"/>
        </w:numPr>
        <w:jc w:val="both"/>
        <w:rPr>
          <w:lang w:val="en-GB"/>
        </w:rPr>
      </w:pPr>
      <w:r w:rsidRPr="00D8551A">
        <w:rPr>
          <w:lang w:val="en-GB"/>
        </w:rPr>
        <w:t>National Pressure Injury Advisory Panel. (2023). *Prevention and Treatment of Pressure Ulcers/Injuries: Clinical Practice Guideline*.</w:t>
      </w:r>
    </w:p>
    <w:p w14:paraId="5496E8B3" w14:textId="77777777" w:rsidR="00D8551A" w:rsidRPr="00D8551A" w:rsidRDefault="00D8551A" w:rsidP="00D8551A">
      <w:pPr>
        <w:numPr>
          <w:ilvl w:val="0"/>
          <w:numId w:val="87"/>
        </w:numPr>
        <w:jc w:val="both"/>
      </w:pPr>
      <w:r w:rsidRPr="00D8551A">
        <w:t xml:space="preserve">Grupo Nacional para el Estudio y Asesoramiento en Úlceras por Presión y Heridas Crónicas. </w:t>
      </w:r>
    </w:p>
    <w:p w14:paraId="3C6A0A26" w14:textId="77777777" w:rsidR="00D8551A" w:rsidRPr="00D8551A" w:rsidRDefault="00D8551A" w:rsidP="00D8551A">
      <w:pPr>
        <w:jc w:val="both"/>
      </w:pPr>
      <w:r w:rsidRPr="00D8551A">
        <w:t>(2022). *Guía de prevención de lesiones por presión*.</w:t>
      </w:r>
    </w:p>
    <w:p w14:paraId="4B141597" w14:textId="77777777" w:rsidR="00D8551A" w:rsidRPr="00D8551A" w:rsidRDefault="00D8551A" w:rsidP="00D8551A">
      <w:pPr>
        <w:numPr>
          <w:ilvl w:val="0"/>
          <w:numId w:val="87"/>
        </w:numPr>
        <w:jc w:val="both"/>
      </w:pPr>
      <w:r w:rsidRPr="00D8551A">
        <w:t xml:space="preserve">Organización Mundial de la Salud. </w:t>
      </w:r>
      <w:r w:rsidRPr="00D8551A">
        <w:rPr>
          <w:lang w:val="en-GB"/>
        </w:rPr>
        <w:t>(2021). *Global Patient Safety Action Plan 2021–2030</w:t>
      </w:r>
      <w:proofErr w:type="gramStart"/>
      <w:r w:rsidRPr="00D8551A">
        <w:rPr>
          <w:lang w:val="en-GB"/>
        </w:rPr>
        <w:t>*.*</w:t>
      </w:r>
      <w:proofErr w:type="gramEnd"/>
      <w:r w:rsidRPr="00D8551A">
        <w:rPr>
          <w:lang w:val="en-GB"/>
        </w:rPr>
        <w:t xml:space="preserve"> </w:t>
      </w:r>
      <w:r w:rsidRPr="00D8551A">
        <w:t>Instituto Nacional de Gestión Sanitaria. *Manual de Técnicos en Cuidados Auxiliares de Enfermería*.</w:t>
      </w:r>
    </w:p>
    <w:p w14:paraId="5C8D2E20" w14:textId="77777777" w:rsidR="00D8551A" w:rsidRPr="00D8551A" w:rsidRDefault="00D8551A" w:rsidP="00D8551A">
      <w:pPr>
        <w:numPr>
          <w:ilvl w:val="0"/>
          <w:numId w:val="87"/>
        </w:numPr>
        <w:jc w:val="both"/>
        <w:rPr>
          <w:lang w:val="en-GB"/>
        </w:rPr>
      </w:pPr>
      <w:r w:rsidRPr="00D8551A">
        <w:rPr>
          <w:lang w:val="en-GB"/>
        </w:rPr>
        <w:t>European Pressure Ulcer Advisory Panel, National Pressure Injury Advisory Panel &amp; Pan Pacific Pressure Injury Alliance. (2019). *Prevention and Treatment of Pressure Ulcers/Injuries: Clinical Practice Guideline*.</w:t>
      </w:r>
    </w:p>
    <w:p w14:paraId="79C07120" w14:textId="77777777" w:rsidR="006F5A98" w:rsidRPr="006F5A98" w:rsidRDefault="006F5A98" w:rsidP="006F5A98">
      <w:pPr>
        <w:jc w:val="both"/>
      </w:pPr>
      <w:r w:rsidRPr="006F5A98">
        <w:rPr>
          <w:b/>
        </w:rPr>
        <w:lastRenderedPageBreak/>
        <w:t>Alimentación e hidratación del paciente: papel del Técnico en Cuidados Auxiliares de Enfermería en la prevención de complicaciones</w:t>
      </w:r>
    </w:p>
    <w:p w14:paraId="66C0CEC9" w14:textId="77777777" w:rsidR="006F5A98" w:rsidRPr="006F5A98" w:rsidRDefault="006F5A98" w:rsidP="006F5A98">
      <w:pPr>
        <w:jc w:val="both"/>
        <w:rPr>
          <w:b/>
        </w:rPr>
      </w:pPr>
      <w:r w:rsidRPr="006F5A98">
        <w:rPr>
          <w:b/>
        </w:rPr>
        <w:t>Introducción</w:t>
      </w:r>
    </w:p>
    <w:p w14:paraId="0DC9E018" w14:textId="77777777" w:rsidR="006F5A98" w:rsidRPr="006F5A98" w:rsidRDefault="006F5A98" w:rsidP="006F5A98">
      <w:pPr>
        <w:jc w:val="both"/>
      </w:pPr>
      <w:r w:rsidRPr="006F5A98">
        <w:t>Una adecuada alimentación e hidratación son pilares básicos para mantener el estado de salud, favorecer la recuperación de la enfermedad y prevenir complicaciones durante la hospitalización o la estancia en centros sociosanitarios. La desnutrición y la deshidratación se asocian a un aumento del riesgo de infecciones, retraso en la cicatrización, pérdida de masa muscular, mayor duración del ingreso y deterioro funcional.</w:t>
      </w:r>
    </w:p>
    <w:p w14:paraId="14A6C1DA" w14:textId="77777777" w:rsidR="006F5A98" w:rsidRPr="006F5A98" w:rsidRDefault="006F5A98" w:rsidP="006F5A98">
      <w:pPr>
        <w:jc w:val="both"/>
      </w:pPr>
      <w:r w:rsidRPr="006F5A98">
        <w:t>El Técnico en Cuidados Auxiliares de Enfermería (TCAE) desempeña un papel esencial en el apoyo a la alimentación del paciente, colaborando con el personal de enfermería en la administración de las dietas prescritas, la observación de la tolerancia alimentaria y la detección precoz de posibles dificultades relacionadas con la ingesta.</w:t>
      </w:r>
    </w:p>
    <w:p w14:paraId="5C678676" w14:textId="77777777" w:rsidR="006F5A98" w:rsidRPr="006F5A98" w:rsidRDefault="006F5A98" w:rsidP="006F5A98">
      <w:pPr>
        <w:jc w:val="both"/>
      </w:pPr>
      <w:r w:rsidRPr="006F5A98">
        <w:t>Su contacto continuado con los pacientes permite identificar cambios en los hábitos alimentarios y comunicar de forma temprana cualquier incidencia que pueda comprometer el estado nutricional.</w:t>
      </w:r>
    </w:p>
    <w:p w14:paraId="0A9E3489" w14:textId="77777777" w:rsidR="006F5A98" w:rsidRPr="006F5A98" w:rsidRDefault="006F5A98" w:rsidP="006F5A98">
      <w:pPr>
        <w:jc w:val="both"/>
        <w:rPr>
          <w:b/>
        </w:rPr>
      </w:pPr>
      <w:r w:rsidRPr="006F5A98">
        <w:rPr>
          <w:b/>
        </w:rPr>
        <w:t>Objetivo</w:t>
      </w:r>
    </w:p>
    <w:p w14:paraId="7252332C" w14:textId="77777777" w:rsidR="006F5A98" w:rsidRPr="006F5A98" w:rsidRDefault="006F5A98" w:rsidP="006F5A98">
      <w:pPr>
        <w:jc w:val="both"/>
      </w:pPr>
      <w:r w:rsidRPr="006F5A98">
        <w:t>Analizar la contribución del TCAE en la alimentación e hidratación del paciente y describir las principales intervenciones dirigidas a prevenir complicaciones relacionadas con el estado nutricional.</w:t>
      </w:r>
    </w:p>
    <w:p w14:paraId="56822328" w14:textId="77777777" w:rsidR="006F5A98" w:rsidRPr="006F5A98" w:rsidRDefault="006F5A98" w:rsidP="006F5A98">
      <w:pPr>
        <w:jc w:val="both"/>
        <w:rPr>
          <w:b/>
        </w:rPr>
      </w:pPr>
      <w:r w:rsidRPr="006F5A98">
        <w:rPr>
          <w:b/>
        </w:rPr>
        <w:t>Material y método</w:t>
      </w:r>
    </w:p>
    <w:p w14:paraId="598B9F41" w14:textId="77777777" w:rsidR="006F5A98" w:rsidRPr="006F5A98" w:rsidRDefault="006F5A98" w:rsidP="006F5A98">
      <w:pPr>
        <w:jc w:val="both"/>
      </w:pPr>
      <w:r w:rsidRPr="006F5A98">
        <w:t xml:space="preserve">Se realizó una revisión bibliográfica descriptiva mediante la consulta de artículos científicos, revisiones sistemáticas y guías de práctica clínica publicadas entre 2016 y 2025. Se revisaron las bases de datos PubMed, </w:t>
      </w:r>
      <w:proofErr w:type="spellStart"/>
      <w:r w:rsidRPr="006F5A98">
        <w:t>Scopus</w:t>
      </w:r>
      <w:proofErr w:type="spellEnd"/>
      <w:r w:rsidRPr="006F5A98">
        <w:t xml:space="preserve"> y Google Scholar, además de documentos de organismos nacionales e internacionales sobre nutrición clínica, seguridad alimentaria y cuidados básicos.</w:t>
      </w:r>
    </w:p>
    <w:p w14:paraId="5C6965C4" w14:textId="77777777" w:rsidR="006F5A98" w:rsidRPr="006F5A98" w:rsidRDefault="006F5A98" w:rsidP="006F5A98">
      <w:pPr>
        <w:jc w:val="both"/>
      </w:pPr>
      <w:r w:rsidRPr="006F5A98">
        <w:t>Se seleccionaron publicaciones relacionadas con la prevención de la desnutrición, la hidratación y el papel de los profesionales de apoyo en los cuidados nutricionales.</w:t>
      </w:r>
    </w:p>
    <w:p w14:paraId="5271F249" w14:textId="77777777" w:rsidR="006F5A98" w:rsidRPr="006F5A98" w:rsidRDefault="006F5A98" w:rsidP="006F5A98">
      <w:pPr>
        <w:jc w:val="both"/>
        <w:rPr>
          <w:b/>
        </w:rPr>
      </w:pPr>
      <w:r w:rsidRPr="006F5A98">
        <w:rPr>
          <w:b/>
        </w:rPr>
        <w:t>Resultados</w:t>
      </w:r>
    </w:p>
    <w:p w14:paraId="7868AB70" w14:textId="77777777" w:rsidR="006F5A98" w:rsidRPr="006F5A98" w:rsidRDefault="006F5A98" w:rsidP="006F5A98">
      <w:pPr>
        <w:jc w:val="both"/>
      </w:pPr>
      <w:r w:rsidRPr="006F5A98">
        <w:t>La evidencia científica muestra que la detección precoz de problemas relacionados con la alimentación mejora el pronóstico clínico y reduce la aparición de complicaciones.</w:t>
      </w:r>
    </w:p>
    <w:p w14:paraId="6285EE7B" w14:textId="77777777" w:rsidR="006F5A98" w:rsidRPr="006F5A98" w:rsidRDefault="006F5A98" w:rsidP="006F5A98">
      <w:pPr>
        <w:jc w:val="both"/>
      </w:pPr>
      <w:r w:rsidRPr="006F5A98">
        <w:lastRenderedPageBreak/>
        <w:t>Entre las funciones del TCAE destacan la preparación del paciente para las comidas, la verificación de que recibe la dieta prescrita, la ayuda durante la alimentación cuando es necesaria y la observación de aspectos como el apetito, la capacidad para masticar y deglutir, la tolerancia digestiva y la cantidad de alimentos y líquidos ingeridos.</w:t>
      </w:r>
    </w:p>
    <w:p w14:paraId="471ADC32" w14:textId="77777777" w:rsidR="006F5A98" w:rsidRPr="006F5A98" w:rsidRDefault="006F5A98" w:rsidP="006F5A98">
      <w:pPr>
        <w:jc w:val="both"/>
      </w:pPr>
      <w:r w:rsidRPr="006F5A98">
        <w:t>Los estudios también subrayan la importancia de mantener una postura adecuada durante las comidas, respetar el ritmo del paciente y crear un entorno tranquilo que favorezca la ingesta, especialmente en personas mayores o con deterioro cognitivo.</w:t>
      </w:r>
    </w:p>
    <w:p w14:paraId="6C7E3923" w14:textId="77777777" w:rsidR="006F5A98" w:rsidRPr="006F5A98" w:rsidRDefault="006F5A98" w:rsidP="006F5A98">
      <w:pPr>
        <w:jc w:val="both"/>
      </w:pPr>
      <w:r w:rsidRPr="006F5A98">
        <w:t>Asimismo, el registro de incidencias y la comunicación inmediata de signos como rechazo persistente de la alimentación, vómitos, disfagia, pérdida de peso o disminución importante de la ingesta permiten una intervención temprana por parte del equipo sanitario.</w:t>
      </w:r>
    </w:p>
    <w:p w14:paraId="4162DECA" w14:textId="77777777" w:rsidR="006F5A98" w:rsidRPr="006F5A98" w:rsidRDefault="006F5A98" w:rsidP="006F5A98">
      <w:pPr>
        <w:jc w:val="both"/>
      </w:pPr>
      <w:r w:rsidRPr="006F5A98">
        <w:t>La revisión destaca igualmente que la educación al paciente y a sus familiares sobre hábitos alimentarios saludables y una hidratación adecuada favorece la continuidad de los cuidados tras el alta.</w:t>
      </w:r>
    </w:p>
    <w:p w14:paraId="0909B497" w14:textId="77777777" w:rsidR="006F5A98" w:rsidRPr="006F5A98" w:rsidRDefault="006F5A98" w:rsidP="006F5A98">
      <w:pPr>
        <w:jc w:val="both"/>
        <w:rPr>
          <w:b/>
        </w:rPr>
      </w:pPr>
      <w:r w:rsidRPr="006F5A98">
        <w:rPr>
          <w:b/>
        </w:rPr>
        <w:t>Conclusiones</w:t>
      </w:r>
    </w:p>
    <w:p w14:paraId="5461CA17" w14:textId="77777777" w:rsidR="006F5A98" w:rsidRPr="006F5A98" w:rsidRDefault="006F5A98" w:rsidP="006F5A98">
      <w:pPr>
        <w:jc w:val="both"/>
      </w:pPr>
      <w:r w:rsidRPr="006F5A98">
        <w:t>El TCAE desempeña un papel fundamental en la prevención de complicaciones relacionadas con la alimentación y la hidratación, contribuyendo a mantener el estado nutricional y el bienestar del paciente.</w:t>
      </w:r>
    </w:p>
    <w:p w14:paraId="4692A7E7" w14:textId="77777777" w:rsidR="006F5A98" w:rsidRPr="006F5A98" w:rsidRDefault="006F5A98" w:rsidP="006F5A98">
      <w:pPr>
        <w:jc w:val="both"/>
      </w:pPr>
      <w:r w:rsidRPr="006F5A98">
        <w:t>La observación continua, el apoyo durante la ingesta, el registro de incidencias y la comunicación eficaz con el resto del equipo asistencial permiten detectar precozmente alteraciones que requieren valoración profesional.</w:t>
      </w:r>
    </w:p>
    <w:p w14:paraId="034010B4" w14:textId="77777777" w:rsidR="006F5A98" w:rsidRPr="006F5A98" w:rsidRDefault="006F5A98" w:rsidP="006F5A98">
      <w:pPr>
        <w:jc w:val="both"/>
      </w:pPr>
      <w:r w:rsidRPr="006F5A98">
        <w:t>La formación continuada en cuidados nutricionales y la aplicación de protocolos estandarizados fortalecen la calidad asistencial y favorecen una atención segura, individualizada y centrada en las necesidades del paciente.</w:t>
      </w:r>
    </w:p>
    <w:p w14:paraId="4BCD7D51" w14:textId="77777777" w:rsidR="006F5A98" w:rsidRPr="006F5A98" w:rsidRDefault="006F5A98" w:rsidP="006F5A98">
      <w:pPr>
        <w:jc w:val="both"/>
        <w:rPr>
          <w:b/>
        </w:rPr>
      </w:pPr>
      <w:r w:rsidRPr="006F5A98">
        <w:rPr>
          <w:b/>
        </w:rPr>
        <w:t>Bibliografía</w:t>
      </w:r>
    </w:p>
    <w:p w14:paraId="254D618C" w14:textId="77777777" w:rsidR="006F5A98" w:rsidRPr="006F5A98" w:rsidRDefault="006F5A98" w:rsidP="006F5A98">
      <w:pPr>
        <w:numPr>
          <w:ilvl w:val="0"/>
          <w:numId w:val="88"/>
        </w:numPr>
        <w:jc w:val="both"/>
        <w:rPr>
          <w:lang w:val="en-GB"/>
        </w:rPr>
      </w:pPr>
      <w:r w:rsidRPr="006F5A98">
        <w:rPr>
          <w:lang w:val="en-GB"/>
        </w:rPr>
        <w:t>European Society for Clinical Nutrition and Metabolism. (2023). *ESPEN Guideline on Clinical Nutrition and Hydration*.</w:t>
      </w:r>
    </w:p>
    <w:p w14:paraId="24A40F87" w14:textId="77777777" w:rsidR="006F5A98" w:rsidRPr="006F5A98" w:rsidRDefault="006F5A98" w:rsidP="006F5A98">
      <w:pPr>
        <w:numPr>
          <w:ilvl w:val="0"/>
          <w:numId w:val="88"/>
        </w:numPr>
        <w:jc w:val="both"/>
      </w:pPr>
      <w:r w:rsidRPr="006F5A98">
        <w:t>Organización Mundial de la Salud. (2023). *</w:t>
      </w:r>
      <w:proofErr w:type="spellStart"/>
      <w:r w:rsidRPr="006F5A98">
        <w:t>Healthy</w:t>
      </w:r>
      <w:proofErr w:type="spellEnd"/>
      <w:r w:rsidRPr="006F5A98">
        <w:t xml:space="preserve"> Diet </w:t>
      </w:r>
      <w:proofErr w:type="spellStart"/>
      <w:r w:rsidRPr="006F5A98">
        <w:t>Factsheet</w:t>
      </w:r>
      <w:proofErr w:type="spellEnd"/>
      <w:r w:rsidRPr="006F5A98">
        <w:t>*.</w:t>
      </w:r>
    </w:p>
    <w:p w14:paraId="44F47573" w14:textId="77777777" w:rsidR="006F5A98" w:rsidRPr="006F5A98" w:rsidRDefault="006F5A98" w:rsidP="006F5A98">
      <w:pPr>
        <w:numPr>
          <w:ilvl w:val="0"/>
          <w:numId w:val="88"/>
        </w:numPr>
        <w:jc w:val="both"/>
      </w:pPr>
      <w:r w:rsidRPr="006F5A98">
        <w:t>Ministerio de Sanidad. *Estrategia de Nutrición Clínica en el Sistema Nacional de Salud</w:t>
      </w:r>
      <w:proofErr w:type="gramStart"/>
      <w:r w:rsidRPr="006F5A98">
        <w:t>*.*</w:t>
      </w:r>
      <w:proofErr w:type="gramEnd"/>
      <w:r w:rsidRPr="006F5A98">
        <w:t xml:space="preserve"> Instituto Nacional de Gestión Sanitaria. *Manual de Técnicos en Cuidados Auxiliares de Enfermería*.</w:t>
      </w:r>
    </w:p>
    <w:p w14:paraId="714A9A96" w14:textId="77777777" w:rsidR="006F5A98" w:rsidRDefault="006F5A98" w:rsidP="006F5A98">
      <w:pPr>
        <w:numPr>
          <w:ilvl w:val="0"/>
          <w:numId w:val="88"/>
        </w:numPr>
        <w:jc w:val="both"/>
      </w:pPr>
      <w:r w:rsidRPr="006F5A98">
        <w:rPr>
          <w:lang w:val="en-GB"/>
        </w:rPr>
        <w:t xml:space="preserve">Volkert, D., Beck, A. M., Cederholm, T., et al. (2019). ESPEN guideline on clinical nutrition and hydration in geriatrics. </w:t>
      </w:r>
      <w:r w:rsidRPr="006F5A98">
        <w:t>*</w:t>
      </w:r>
      <w:proofErr w:type="spellStart"/>
      <w:r w:rsidRPr="006F5A98">
        <w:t>Clinical</w:t>
      </w:r>
      <w:proofErr w:type="spellEnd"/>
      <w:r w:rsidRPr="006F5A98">
        <w:t xml:space="preserve"> </w:t>
      </w:r>
      <w:proofErr w:type="spellStart"/>
      <w:r w:rsidRPr="006F5A98">
        <w:t>Nutrition</w:t>
      </w:r>
      <w:proofErr w:type="spellEnd"/>
      <w:r w:rsidRPr="006F5A98">
        <w:t>*, 38(1), 10–47.</w:t>
      </w:r>
    </w:p>
    <w:p w14:paraId="2FC842F9" w14:textId="77777777" w:rsidR="0076100D" w:rsidRDefault="0076100D" w:rsidP="0076100D">
      <w:pPr>
        <w:jc w:val="both"/>
      </w:pPr>
    </w:p>
    <w:p w14:paraId="3CC93779" w14:textId="77777777" w:rsidR="0076100D" w:rsidRPr="0076100D" w:rsidRDefault="0076100D" w:rsidP="0076100D">
      <w:pPr>
        <w:jc w:val="both"/>
        <w:rPr>
          <w:b/>
          <w:bCs/>
        </w:rPr>
      </w:pPr>
      <w:r w:rsidRPr="0076100D">
        <w:rPr>
          <w:b/>
          <w:bCs/>
        </w:rPr>
        <w:lastRenderedPageBreak/>
        <w:t>EL AUXILIAR ADMINISTRATIVO COMO FIGURA CLAVE EN EL INGRESO DE PACIENTE Y FAMILIAR EN CENTRO HOSPITALARIO.</w:t>
      </w:r>
    </w:p>
    <w:p w14:paraId="0E61F2E7" w14:textId="77777777" w:rsidR="0076100D" w:rsidRPr="0076100D" w:rsidRDefault="0076100D" w:rsidP="0076100D">
      <w:pPr>
        <w:jc w:val="both"/>
        <w:rPr>
          <w:b/>
          <w:bCs/>
        </w:rPr>
      </w:pPr>
      <w:r w:rsidRPr="0076100D">
        <w:rPr>
          <w:b/>
          <w:bCs/>
        </w:rPr>
        <w:t xml:space="preserve">Introducción </w:t>
      </w:r>
    </w:p>
    <w:p w14:paraId="5EB04881" w14:textId="77777777" w:rsidR="0076100D" w:rsidRPr="0076100D" w:rsidRDefault="0076100D" w:rsidP="0076100D">
      <w:pPr>
        <w:jc w:val="both"/>
      </w:pPr>
      <w:r w:rsidRPr="0076100D">
        <w:t xml:space="preserve">Los centros hospitalarios son centros donde las personas se sienten desorientadas, son edificios que les son desconocidos, con personal que va identificado con uniforme, entre otras particularidades. Todas estas variables, junto con la necesidad de estar allí, hacen que las directrices que se dan por muy pequeñas y sencillas que sean, se convierten en un entramado de ordenes difíciles de realizar, es por ello </w:t>
      </w:r>
      <w:proofErr w:type="gramStart"/>
      <w:r w:rsidRPr="0076100D">
        <w:t>que</w:t>
      </w:r>
      <w:proofErr w:type="gramEnd"/>
      <w:r w:rsidRPr="0076100D">
        <w:t xml:space="preserve"> el auxiliar administrativo es su principal aliado, su mejor ayuda en esos momentos de incertidumbre.</w:t>
      </w:r>
    </w:p>
    <w:p w14:paraId="2BDA6CBC" w14:textId="77777777" w:rsidR="0076100D" w:rsidRPr="0076100D" w:rsidRDefault="0076100D" w:rsidP="0076100D">
      <w:pPr>
        <w:jc w:val="both"/>
      </w:pPr>
      <w:r w:rsidRPr="0076100D">
        <w:tab/>
        <w:t>El auxiliar administrativo, desde su imagen personal, hasta su vocabulario, junto con gestos y ademanes puede aliviar la tensión y la carga emocional tanto del paciente como de los familiares y acompañantes.</w:t>
      </w:r>
    </w:p>
    <w:p w14:paraId="758A230A" w14:textId="77777777" w:rsidR="0076100D" w:rsidRPr="0076100D" w:rsidRDefault="0076100D" w:rsidP="0076100D">
      <w:pPr>
        <w:jc w:val="both"/>
      </w:pPr>
      <w:r w:rsidRPr="0076100D">
        <w:rPr>
          <w:bCs/>
        </w:rPr>
        <w:t>A los objetivos del auxiliar administrativo, arriba mencionados se le añaden</w:t>
      </w:r>
      <w:r w:rsidRPr="0076100D">
        <w:rPr>
          <w:b/>
          <w:bCs/>
        </w:rPr>
        <w:t xml:space="preserve"> </w:t>
      </w:r>
      <w:r w:rsidRPr="0076100D">
        <w:rPr>
          <w:i/>
        </w:rPr>
        <w:t>"entre las funciones de un auxiliar administrativo en sanidad se incluye la gestión y coordinación de citas médicas, la administración de registros médicos y datos de pacientes, la elaboración de informes administrativos y financieros, la coordinación de servicios entre diferentes departamentos, la gestión de inventarios</w:t>
      </w:r>
      <w:r w:rsidRPr="0076100D">
        <w:t>."(1)</w:t>
      </w:r>
    </w:p>
    <w:p w14:paraId="4F6F200E" w14:textId="77777777" w:rsidR="0076100D" w:rsidRPr="0076100D" w:rsidRDefault="0076100D" w:rsidP="0076100D">
      <w:pPr>
        <w:jc w:val="both"/>
        <w:rPr>
          <w:b/>
        </w:rPr>
      </w:pPr>
      <w:r w:rsidRPr="0076100D">
        <w:rPr>
          <w:b/>
        </w:rPr>
        <w:t>Objetivo</w:t>
      </w:r>
    </w:p>
    <w:p w14:paraId="752DA8CD" w14:textId="77777777" w:rsidR="0076100D" w:rsidRPr="0076100D" w:rsidRDefault="0076100D" w:rsidP="0076100D">
      <w:pPr>
        <w:jc w:val="both"/>
      </w:pPr>
      <w:r w:rsidRPr="0076100D">
        <w:t>El objetivo de este trabajo es revisar las acciones que se realizan por parte del auxiliar administrativo para mejorar el ingreso en centro sanitario por parte del paciente y familiares.</w:t>
      </w:r>
    </w:p>
    <w:p w14:paraId="73B1BA01" w14:textId="77777777" w:rsidR="0076100D" w:rsidRPr="0076100D" w:rsidRDefault="0076100D" w:rsidP="0076100D">
      <w:pPr>
        <w:jc w:val="both"/>
      </w:pPr>
      <w:r w:rsidRPr="0076100D">
        <w:t xml:space="preserve">Objetivos específicos: </w:t>
      </w:r>
    </w:p>
    <w:p w14:paraId="0439AA2F" w14:textId="77777777" w:rsidR="0076100D" w:rsidRPr="0076100D" w:rsidRDefault="0076100D" w:rsidP="0076100D">
      <w:pPr>
        <w:numPr>
          <w:ilvl w:val="0"/>
          <w:numId w:val="89"/>
        </w:numPr>
        <w:jc w:val="both"/>
      </w:pPr>
      <w:r w:rsidRPr="0076100D">
        <w:t>Describir la imagen del profesional administrativo en su puesto de trabajo.</w:t>
      </w:r>
    </w:p>
    <w:p w14:paraId="33427D41" w14:textId="77777777" w:rsidR="0076100D" w:rsidRPr="0076100D" w:rsidRDefault="0076100D" w:rsidP="0076100D">
      <w:pPr>
        <w:numPr>
          <w:ilvl w:val="0"/>
          <w:numId w:val="89"/>
        </w:numPr>
        <w:jc w:val="both"/>
      </w:pPr>
      <w:r w:rsidRPr="0076100D">
        <w:t>Seleccionar las palabras adecuadas para asegurar que no se incrementa el umbral de ansiedad.</w:t>
      </w:r>
    </w:p>
    <w:p w14:paraId="18CBF896" w14:textId="77777777" w:rsidR="0076100D" w:rsidRPr="0076100D" w:rsidRDefault="0076100D" w:rsidP="0076100D">
      <w:pPr>
        <w:numPr>
          <w:ilvl w:val="0"/>
          <w:numId w:val="89"/>
        </w:numPr>
        <w:jc w:val="both"/>
      </w:pPr>
      <w:r w:rsidRPr="0076100D">
        <w:t>Medir gestos y ademanes para que solo transmitan que están siendo y van a ser bien atendidos.</w:t>
      </w:r>
    </w:p>
    <w:p w14:paraId="640C6164" w14:textId="77777777" w:rsidR="0076100D" w:rsidRPr="0076100D" w:rsidRDefault="0076100D" w:rsidP="0076100D">
      <w:pPr>
        <w:jc w:val="both"/>
      </w:pPr>
    </w:p>
    <w:p w14:paraId="4A011D6F" w14:textId="77777777" w:rsidR="0076100D" w:rsidRPr="0076100D" w:rsidRDefault="0076100D" w:rsidP="0076100D">
      <w:pPr>
        <w:jc w:val="both"/>
        <w:rPr>
          <w:b/>
          <w:bCs/>
        </w:rPr>
      </w:pPr>
      <w:r w:rsidRPr="0076100D">
        <w:rPr>
          <w:b/>
          <w:bCs/>
        </w:rPr>
        <w:t>Material y métodos.</w:t>
      </w:r>
    </w:p>
    <w:p w14:paraId="27D2F894" w14:textId="77777777" w:rsidR="0076100D" w:rsidRPr="0076100D" w:rsidRDefault="0076100D" w:rsidP="0076100D">
      <w:pPr>
        <w:jc w:val="both"/>
      </w:pPr>
      <w:r w:rsidRPr="0076100D">
        <w:t>Observación en puestos de trabajo de auxiliar administrativo en hospital y centros de atención primaria.</w:t>
      </w:r>
    </w:p>
    <w:p w14:paraId="639703A8" w14:textId="77777777" w:rsidR="0076100D" w:rsidRPr="0076100D" w:rsidRDefault="0076100D" w:rsidP="0076100D">
      <w:pPr>
        <w:jc w:val="both"/>
      </w:pPr>
      <w:r w:rsidRPr="0076100D">
        <w:lastRenderedPageBreak/>
        <w:t xml:space="preserve">Revisión bibliográfica a propósito de este asunto, publicado en revistas de contrastado prestigio. </w:t>
      </w:r>
    </w:p>
    <w:p w14:paraId="33741F38" w14:textId="77777777" w:rsidR="0076100D" w:rsidRPr="0076100D" w:rsidRDefault="0076100D" w:rsidP="0076100D">
      <w:pPr>
        <w:jc w:val="both"/>
        <w:rPr>
          <w:b/>
          <w:bCs/>
        </w:rPr>
      </w:pPr>
      <w:r w:rsidRPr="0076100D">
        <w:rPr>
          <w:b/>
          <w:bCs/>
        </w:rPr>
        <w:t>Marco teórico.</w:t>
      </w:r>
    </w:p>
    <w:p w14:paraId="08DE835C" w14:textId="77777777" w:rsidR="0076100D" w:rsidRPr="0076100D" w:rsidRDefault="0076100D" w:rsidP="0076100D">
      <w:pPr>
        <w:jc w:val="both"/>
      </w:pPr>
      <w:r w:rsidRPr="0076100D">
        <w:t xml:space="preserve">El ingreso de los pacientes y sus familiares en un centro </w:t>
      </w:r>
      <w:proofErr w:type="gramStart"/>
      <w:r w:rsidRPr="0076100D">
        <w:t>hospitalario,</w:t>
      </w:r>
      <w:proofErr w:type="gramEnd"/>
      <w:r w:rsidRPr="0076100D">
        <w:t xml:space="preserve"> genera en los usuarios un sentimiento de pérdida y de no saber qué hacer de manera instantánea.</w:t>
      </w:r>
    </w:p>
    <w:p w14:paraId="5B6215FF" w14:textId="77777777" w:rsidR="0076100D" w:rsidRPr="0076100D" w:rsidRDefault="0076100D" w:rsidP="0076100D">
      <w:pPr>
        <w:jc w:val="both"/>
        <w:rPr>
          <w:u w:val="single"/>
        </w:rPr>
      </w:pPr>
      <w:r w:rsidRPr="0076100D">
        <w:rPr>
          <w:u w:val="single"/>
        </w:rPr>
        <w:t>Acciones:</w:t>
      </w:r>
    </w:p>
    <w:p w14:paraId="5CF2AC9B" w14:textId="77777777" w:rsidR="0076100D" w:rsidRPr="0076100D" w:rsidRDefault="0076100D" w:rsidP="0076100D">
      <w:pPr>
        <w:jc w:val="both"/>
      </w:pPr>
      <w:r w:rsidRPr="0076100D">
        <w:t>Los auxiliares administrativos son los primeros en atender a todos aquellos que ingresan en una institución sanitaria. Por tanto, el lenguaje no verbal, es el primero que debe estar acorde a nuestros deberes y obligaciones. Hay que cuidar nuestro aspecto, el modo de hablar, la entonación en las frases, los gestos y ademanes. "</w:t>
      </w:r>
      <w:r w:rsidRPr="0076100D">
        <w:rPr>
          <w:i/>
        </w:rPr>
        <w:t xml:space="preserve">Su formación, adaptabilidad y habilidades interpersonales son vitales para garantizar una experiencia de atención médica de </w:t>
      </w:r>
      <w:proofErr w:type="gramStart"/>
      <w:r w:rsidRPr="0076100D">
        <w:rPr>
          <w:i/>
        </w:rPr>
        <w:t>calidad</w:t>
      </w:r>
      <w:r w:rsidRPr="0076100D">
        <w:t>.(</w:t>
      </w:r>
      <w:proofErr w:type="gramEnd"/>
      <w:r w:rsidRPr="0076100D">
        <w:t>2)</w:t>
      </w:r>
    </w:p>
    <w:p w14:paraId="64D48F65" w14:textId="77777777" w:rsidR="0076100D" w:rsidRPr="0076100D" w:rsidRDefault="0076100D" w:rsidP="0076100D">
      <w:pPr>
        <w:jc w:val="both"/>
      </w:pPr>
      <w:r w:rsidRPr="0076100D">
        <w:t>Durante la acogida, mirar al paciente y escuchar, que no es lo mismo mirar a su entorno y oír lo que nos dice, " e</w:t>
      </w:r>
      <w:r w:rsidRPr="0076100D">
        <w:rPr>
          <w:i/>
        </w:rPr>
        <w:t xml:space="preserve">s importante mantener siempre la cordialidad y amabilidad en las conversaciones, en persona o por medio digitales" </w:t>
      </w:r>
      <w:r w:rsidRPr="0076100D">
        <w:t>(3)</w:t>
      </w:r>
    </w:p>
    <w:p w14:paraId="498E14C5" w14:textId="77777777" w:rsidR="0076100D" w:rsidRPr="0076100D" w:rsidRDefault="0076100D" w:rsidP="0076100D">
      <w:pPr>
        <w:jc w:val="both"/>
        <w:rPr>
          <w:i/>
        </w:rPr>
      </w:pPr>
      <w:r w:rsidRPr="0076100D">
        <w:t xml:space="preserve">Con el lenguaje no verbal evitamos las negaciones con la cabeza, </w:t>
      </w:r>
      <w:proofErr w:type="gramStart"/>
      <w:r w:rsidRPr="0076100D">
        <w:t>mientras  el</w:t>
      </w:r>
      <w:proofErr w:type="gramEnd"/>
      <w:r w:rsidRPr="0076100D">
        <w:t xml:space="preserve"> paciente habla y nos da la información que el entendió cuando acepto la cita. Los auxiliares administrativos son los primeros que deben usar un lenguaje claro, concreto y que contesta a las preguntas formuladas. Estas preguntas fruto de la ansiedad, están desordenadas, repetidas…Despedir la conversación con una sonrisa, con frases asertivas y afirmativas mejora la comunicación, "</w:t>
      </w:r>
      <w:r w:rsidRPr="0076100D">
        <w:rPr>
          <w:i/>
        </w:rPr>
        <w:t>manejar estas interacciones de manera profesional y empática puede ser un desafío, especialmente en situaciones emocionalmente cargadas o conflictivas."(4)</w:t>
      </w:r>
    </w:p>
    <w:p w14:paraId="6ABFA5CD" w14:textId="77777777" w:rsidR="0076100D" w:rsidRPr="0076100D" w:rsidRDefault="0076100D" w:rsidP="0076100D">
      <w:pPr>
        <w:jc w:val="both"/>
        <w:rPr>
          <w:i/>
        </w:rPr>
      </w:pPr>
      <w:r w:rsidRPr="0076100D">
        <w:t>Según centros sanitarios, se decide que el personal administrativo debe usar bata/casaca blanca. Los beneficios son muchos, ya que son reconocidos como personal sanitario, también, pero al mismo tiempo, es una ropa que puede provocar “síndrome de la bata blanca”, lo que a veces produce cierta antipatía. Hay que tener en cuenta que son el acceso al personal sanitario</w:t>
      </w:r>
      <w:r w:rsidRPr="0076100D">
        <w:rPr>
          <w:i/>
        </w:rPr>
        <w:t>, " facilitan la comunicación entre médicos, enfermeras y otros especialistas, asegurando que la información relevante llegue a los miembros adecuados del equipo médico" (3)</w:t>
      </w:r>
    </w:p>
    <w:p w14:paraId="55489A50" w14:textId="77777777" w:rsidR="0076100D" w:rsidRPr="0076100D" w:rsidRDefault="0076100D" w:rsidP="0076100D">
      <w:pPr>
        <w:jc w:val="both"/>
      </w:pPr>
      <w:r w:rsidRPr="0076100D">
        <w:rPr>
          <w:u w:val="single"/>
        </w:rPr>
        <w:t>Consecuencias</w:t>
      </w:r>
      <w:r w:rsidRPr="0076100D">
        <w:t>:</w:t>
      </w:r>
    </w:p>
    <w:p w14:paraId="5D54DE08" w14:textId="77777777" w:rsidR="0076100D" w:rsidRPr="0076100D" w:rsidRDefault="0076100D" w:rsidP="0076100D">
      <w:pPr>
        <w:jc w:val="both"/>
      </w:pPr>
      <w:r w:rsidRPr="0076100D">
        <w:t xml:space="preserve">Con esta manera de trabajar, el auxiliar administrativo, lo primero que </w:t>
      </w:r>
      <w:proofErr w:type="gramStart"/>
      <w:r w:rsidRPr="0076100D">
        <w:t>consigue  es</w:t>
      </w:r>
      <w:proofErr w:type="gramEnd"/>
      <w:r w:rsidRPr="0076100D">
        <w:t xml:space="preserve"> empalizar con el paciente y familiar, bajar el umbral de ansiedad que tiene al entrar en el hospital /CAP.  </w:t>
      </w:r>
    </w:p>
    <w:p w14:paraId="1BD6B31F" w14:textId="77777777" w:rsidR="0076100D" w:rsidRPr="0076100D" w:rsidRDefault="0076100D" w:rsidP="0076100D">
      <w:pPr>
        <w:jc w:val="both"/>
      </w:pPr>
      <w:r w:rsidRPr="0076100D">
        <w:t xml:space="preserve">Hacer la contraria, al que está hablando lo exaspera, le confirma que está equivocado y eso genera tensión. </w:t>
      </w:r>
    </w:p>
    <w:p w14:paraId="16A27A6A" w14:textId="77777777" w:rsidR="0076100D" w:rsidRPr="0076100D" w:rsidRDefault="0076100D" w:rsidP="0076100D">
      <w:pPr>
        <w:jc w:val="both"/>
      </w:pPr>
      <w:r w:rsidRPr="0076100D">
        <w:lastRenderedPageBreak/>
        <w:t>Al mirar al usuario, lo hacemos a los ojos, no a la ropa que lleva, el móvil o los tatuajes, la prioridad es la persona. Escuchar no es oír, escuchar es atender de manera que podamos contestar a su incertidumbre y solucionar el estrés que va implícito en su forma de proceder.</w:t>
      </w:r>
    </w:p>
    <w:p w14:paraId="723EF94A" w14:textId="77777777" w:rsidR="0076100D" w:rsidRPr="0076100D" w:rsidRDefault="0076100D" w:rsidP="0076100D">
      <w:pPr>
        <w:jc w:val="both"/>
      </w:pPr>
      <w:r w:rsidRPr="0076100D">
        <w:t xml:space="preserve">El final de la </w:t>
      </w:r>
      <w:proofErr w:type="gramStart"/>
      <w:r w:rsidRPr="0076100D">
        <w:t>conversación,</w:t>
      </w:r>
      <w:proofErr w:type="gramEnd"/>
      <w:r w:rsidRPr="0076100D">
        <w:t xml:space="preserve"> debe ser amable, el usuario está más tranquilo, está bien asesorado, sabe lo que tiene que hacer, donde y cuando. </w:t>
      </w:r>
    </w:p>
    <w:p w14:paraId="74EE8257" w14:textId="77777777" w:rsidR="0076100D" w:rsidRPr="0076100D" w:rsidRDefault="0076100D" w:rsidP="0076100D">
      <w:pPr>
        <w:jc w:val="both"/>
      </w:pPr>
      <w:r w:rsidRPr="0076100D">
        <w:t>El uso de la casaca/bata blanca, puede entorpecer la conversación al mismo tiempo que otorga cierta autoridad al auxiliar administrativo.</w:t>
      </w:r>
    </w:p>
    <w:p w14:paraId="7D0B4A8C" w14:textId="77777777" w:rsidR="0076100D" w:rsidRPr="0076100D" w:rsidRDefault="0076100D" w:rsidP="0076100D">
      <w:pPr>
        <w:jc w:val="both"/>
      </w:pPr>
      <w:r w:rsidRPr="0076100D">
        <w:rPr>
          <w:b/>
          <w:bCs/>
        </w:rPr>
        <w:t>Discusión.</w:t>
      </w:r>
    </w:p>
    <w:p w14:paraId="3537E24F" w14:textId="77777777" w:rsidR="0076100D" w:rsidRPr="0076100D" w:rsidRDefault="0076100D" w:rsidP="0076100D">
      <w:pPr>
        <w:jc w:val="both"/>
      </w:pPr>
      <w:r w:rsidRPr="0076100D">
        <w:t xml:space="preserve">Cierto aspecto físico, </w:t>
      </w:r>
      <w:proofErr w:type="spellStart"/>
      <w:r w:rsidRPr="0076100D">
        <w:t>peircing</w:t>
      </w:r>
      <w:proofErr w:type="spellEnd"/>
      <w:r w:rsidRPr="0076100D">
        <w:t xml:space="preserve">, tatuajes, pueden distraer al usuario. Esta distracción al mismo tiempo puede aliviar cierta tensión. </w:t>
      </w:r>
    </w:p>
    <w:p w14:paraId="3BF1B782" w14:textId="77777777" w:rsidR="0076100D" w:rsidRPr="0076100D" w:rsidRDefault="0076100D" w:rsidP="0076100D">
      <w:pPr>
        <w:jc w:val="both"/>
      </w:pPr>
      <w:r w:rsidRPr="0076100D">
        <w:t xml:space="preserve">El control de nuestro cuerpo, la eliminación de gestos agresivos y ademanes </w:t>
      </w:r>
      <w:proofErr w:type="gramStart"/>
      <w:r w:rsidRPr="0076100D">
        <w:t>negativos,</w:t>
      </w:r>
      <w:proofErr w:type="gramEnd"/>
      <w:r w:rsidRPr="0076100D">
        <w:t xml:space="preserve"> mejora el establecimiento de una conversación asertiva. Una información real y concreta donde las directrices a seguir sean claras. Esto ocurre cuando el personal administrativo conoce muy bien el hospital, las salas y la situación de escaleras, ascensores. Esta circunstancia se ve alterada cuando el trabajo no es continuo en ese </w:t>
      </w:r>
      <w:proofErr w:type="gramStart"/>
      <w:r w:rsidRPr="0076100D">
        <w:t>CAP( Centro</w:t>
      </w:r>
      <w:proofErr w:type="gramEnd"/>
      <w:r w:rsidRPr="0076100D">
        <w:t xml:space="preserve"> de Atención </w:t>
      </w:r>
      <w:proofErr w:type="gramStart"/>
      <w:r w:rsidRPr="0076100D">
        <w:t>Primaria)/</w:t>
      </w:r>
      <w:proofErr w:type="gramEnd"/>
      <w:r w:rsidRPr="0076100D">
        <w:t>Hospital, si eres nuevo y llegas de súbito a tu puesto de trabajo.</w:t>
      </w:r>
    </w:p>
    <w:p w14:paraId="4319C2A7" w14:textId="77777777" w:rsidR="0076100D" w:rsidRPr="0076100D" w:rsidRDefault="0076100D" w:rsidP="0076100D">
      <w:pPr>
        <w:jc w:val="both"/>
      </w:pPr>
      <w:r w:rsidRPr="0076100D">
        <w:t>La obligatoriedad de usar casaca/bata blanca sobre la ropa. Este detalle no es menor, ya que al mismo tiempo que te facilita el uso de ascensores, rapidez para entrar en los servicios te identifica como parte de hospital lo cual es algo que puede estresar.</w:t>
      </w:r>
    </w:p>
    <w:p w14:paraId="4E4D64FF" w14:textId="77777777" w:rsidR="0076100D" w:rsidRPr="0076100D" w:rsidRDefault="0076100D" w:rsidP="0076100D">
      <w:pPr>
        <w:jc w:val="both"/>
      </w:pPr>
      <w:r w:rsidRPr="0076100D">
        <w:t xml:space="preserve">La dualidad coste/beneficio del uso de la bata blanca, influye en la comunicación, agiliza visualmente a quien te tienes que dirigir. Da rapidez al auxiliar administrativo. Al mismo tiempo que puede confundir al usuario pensando que es un sanitario. </w:t>
      </w:r>
    </w:p>
    <w:p w14:paraId="0A286CCC" w14:textId="77777777" w:rsidR="0076100D" w:rsidRPr="0076100D" w:rsidRDefault="0076100D" w:rsidP="0076100D">
      <w:pPr>
        <w:jc w:val="both"/>
      </w:pPr>
      <w:r w:rsidRPr="0076100D">
        <w:t xml:space="preserve">Los auxiliares administrativos no deben caer en el error de usar tecnicismos clínicos, cuando no es necesario, ya que, no mejora la conversación, aturde al paciente y lo enreda mucho más. Pero hemos de tener en cuenta que son los primeros en utilizar y hablar a propósito de pruebas sanitarias y de espacios clínicos donde se realizan las pruebas de diagnóstico y tratamiento. </w:t>
      </w:r>
    </w:p>
    <w:p w14:paraId="4BE27FA3" w14:textId="77777777" w:rsidR="0076100D" w:rsidRPr="0076100D" w:rsidRDefault="0076100D" w:rsidP="0076100D">
      <w:pPr>
        <w:jc w:val="both"/>
        <w:rPr>
          <w:b/>
          <w:bCs/>
        </w:rPr>
      </w:pPr>
      <w:r w:rsidRPr="0076100D">
        <w:rPr>
          <w:b/>
          <w:bCs/>
        </w:rPr>
        <w:t>Conclusiones.</w:t>
      </w:r>
    </w:p>
    <w:p w14:paraId="4B476C87" w14:textId="77777777" w:rsidR="0076100D" w:rsidRPr="0076100D" w:rsidRDefault="0076100D" w:rsidP="0076100D">
      <w:pPr>
        <w:jc w:val="both"/>
      </w:pPr>
      <w:r w:rsidRPr="0076100D">
        <w:t>Con respecto al piercing no es legal pedirle al trabajador que se lo quite, para realizar su trabajo.</w:t>
      </w:r>
    </w:p>
    <w:p w14:paraId="0E1B487E" w14:textId="77777777" w:rsidR="0076100D" w:rsidRPr="0076100D" w:rsidRDefault="0076100D" w:rsidP="0076100D">
      <w:pPr>
        <w:jc w:val="both"/>
      </w:pPr>
      <w:r w:rsidRPr="0076100D">
        <w:t xml:space="preserve">El lenguaje asertivo y claro es fundamental para la buena comprensión por parte del paciente de donde tiene que ir y lo que tiene que hacer. Es por ello </w:t>
      </w:r>
      <w:proofErr w:type="gramStart"/>
      <w:r w:rsidRPr="0076100D">
        <w:t>que</w:t>
      </w:r>
      <w:proofErr w:type="gramEnd"/>
      <w:r w:rsidRPr="0076100D">
        <w:t xml:space="preserve"> el </w:t>
      </w:r>
      <w:r w:rsidRPr="0076100D">
        <w:lastRenderedPageBreak/>
        <w:t xml:space="preserve">conocimiento del organigrama/plano del CAP u Hospital es fundamental, sobre todo, los primeros días de desempeño en tu puesto de trabajo. </w:t>
      </w:r>
    </w:p>
    <w:p w14:paraId="47B8CE42" w14:textId="77777777" w:rsidR="0076100D" w:rsidRPr="0076100D" w:rsidRDefault="0076100D" w:rsidP="0076100D">
      <w:pPr>
        <w:jc w:val="both"/>
      </w:pPr>
      <w:r w:rsidRPr="0076100D">
        <w:t xml:space="preserve">Es más homogéneo que todo aquel trabajador del CAP u </w:t>
      </w:r>
      <w:proofErr w:type="gramStart"/>
      <w:r w:rsidRPr="0076100D">
        <w:t>Hospital,</w:t>
      </w:r>
      <w:proofErr w:type="gramEnd"/>
      <w:r w:rsidRPr="0076100D">
        <w:t xml:space="preserve"> esté correctamente identificado, la sustitución de la casaca/bata por el </w:t>
      </w:r>
      <w:proofErr w:type="gramStart"/>
      <w:r w:rsidRPr="0076100D">
        <w:t>Carnet</w:t>
      </w:r>
      <w:proofErr w:type="gramEnd"/>
      <w:r w:rsidRPr="0076100D">
        <w:t xml:space="preserve"> identificativo es una forma de hacerlo. Es por esto, que el uso de la casaca te identifica, como personal sanitario, lo que puede ser algo coercitivo, pero al mismo tiempo puede dar cierta autoridad al personal administrativo.</w:t>
      </w:r>
    </w:p>
    <w:p w14:paraId="17CD9491" w14:textId="77777777" w:rsidR="0076100D" w:rsidRPr="0076100D" w:rsidRDefault="0076100D" w:rsidP="0076100D">
      <w:pPr>
        <w:jc w:val="both"/>
      </w:pPr>
      <w:r w:rsidRPr="0076100D">
        <w:t>Los auxiliares administrativos tienen otra ventaja, que es la no utilización de tecnicismos clínicos, cuando no es necesario. Es beneficioso, que se conozca la prueba por la que te preguntan, como se llama la sala, que profesional espera al paciente. Estos actos no precisan de la utilización de “vocabulario médico”, por el hecho de usarlo, es que el personal de administración es la primera toma de contacto con el mundo hospitalario y por ello realiza esa transición entre el paciente y el personal sanitario.</w:t>
      </w:r>
    </w:p>
    <w:p w14:paraId="44C9494E" w14:textId="77777777" w:rsidR="0076100D" w:rsidRPr="0076100D" w:rsidRDefault="0076100D" w:rsidP="0076100D">
      <w:pPr>
        <w:jc w:val="both"/>
      </w:pPr>
      <w:r w:rsidRPr="0076100D">
        <w:t>Estas pautas que forman parte del inicio de la conversación son tan importantes como toda la información estrictamente sanitaria que más tarde va a recibir.</w:t>
      </w:r>
    </w:p>
    <w:p w14:paraId="790E0BE0" w14:textId="77777777" w:rsidR="0076100D" w:rsidRPr="0076100D" w:rsidRDefault="0076100D" w:rsidP="0076100D">
      <w:pPr>
        <w:jc w:val="both"/>
      </w:pPr>
      <w:r w:rsidRPr="0076100D">
        <w:t xml:space="preserve">El trabajo del auxiliar administrativo debe brillar por su calidad asistencial, la concreción y simplicidad en las acciones realizadas siendo estas de marcado carácter universal al mismo tiempo que se realiza un trato personalizado con cada paciente/familiar. </w:t>
      </w:r>
    </w:p>
    <w:p w14:paraId="2AEA88B6" w14:textId="77777777" w:rsidR="0076100D" w:rsidRPr="0076100D" w:rsidRDefault="0076100D" w:rsidP="0076100D">
      <w:pPr>
        <w:jc w:val="both"/>
      </w:pPr>
    </w:p>
    <w:p w14:paraId="028B7D2C" w14:textId="77777777" w:rsidR="0076100D" w:rsidRPr="0076100D" w:rsidRDefault="0076100D" w:rsidP="0076100D">
      <w:pPr>
        <w:jc w:val="both"/>
        <w:rPr>
          <w:b/>
          <w:bCs/>
        </w:rPr>
      </w:pPr>
      <w:r w:rsidRPr="0076100D">
        <w:rPr>
          <w:b/>
          <w:bCs/>
        </w:rPr>
        <w:t>Bibliografía</w:t>
      </w:r>
    </w:p>
    <w:p w14:paraId="3C4DA64D" w14:textId="77777777" w:rsidR="0076100D" w:rsidRPr="0076100D" w:rsidRDefault="0076100D" w:rsidP="0076100D">
      <w:pPr>
        <w:jc w:val="both"/>
      </w:pPr>
      <w:r w:rsidRPr="0076100D">
        <w:rPr>
          <w:bCs/>
        </w:rPr>
        <w:t>(1)</w:t>
      </w:r>
      <w:r w:rsidRPr="0076100D">
        <w:t xml:space="preserve"> Conoce qué es un asistente administrativo y sus funciones [Internet]. </w:t>
      </w:r>
      <w:proofErr w:type="spellStart"/>
      <w:r w:rsidRPr="0076100D">
        <w:t>Euroinnova</w:t>
      </w:r>
      <w:proofErr w:type="spellEnd"/>
      <w:r w:rsidRPr="0076100D">
        <w:t xml:space="preserve"> Educación Online Internacional. 2026 [citado el 13 de julio de 2026]. Disponible en: https://www.euroinnova.com/blog/labores-de-un-auxiliar-administrativo</w:t>
      </w:r>
    </w:p>
    <w:p w14:paraId="09F19CFD" w14:textId="77777777" w:rsidR="0076100D" w:rsidRPr="0076100D" w:rsidRDefault="0076100D" w:rsidP="0076100D">
      <w:pPr>
        <w:jc w:val="both"/>
      </w:pPr>
      <w:r w:rsidRPr="0076100D">
        <w:rPr>
          <w:bCs/>
        </w:rPr>
        <w:t>(2)</w:t>
      </w:r>
      <w:r w:rsidRPr="0076100D">
        <w:rPr>
          <w:b/>
          <w:bCs/>
        </w:rPr>
        <w:t xml:space="preserve"> </w:t>
      </w:r>
      <w:r w:rsidRPr="0076100D">
        <w:t>AFOE. ¿Qué es un auxiliar administrativo sanitario? [Internet]. AFOE. Afoe | Formación para el profesorado; 2024 [citado el 13 de julio de 2026]. Disponible en: http://www.afoe.org/que-es-auxiliar-administrativo-sanitario/</w:t>
      </w:r>
    </w:p>
    <w:p w14:paraId="15204531" w14:textId="77777777" w:rsidR="0076100D" w:rsidRPr="0076100D" w:rsidRDefault="0076100D" w:rsidP="0076100D">
      <w:pPr>
        <w:jc w:val="both"/>
      </w:pPr>
      <w:r w:rsidRPr="0076100D">
        <w:t>(3) Revistasanitariadeinvestigacion.com. [citado el 13 de julio de 2026]. Disponible en: https://revistasanitariadeinvestigacion.com/funciones-administrativas-en-un-hospital/</w:t>
      </w:r>
    </w:p>
    <w:p w14:paraId="120B33E2" w14:textId="77777777" w:rsidR="0076100D" w:rsidRPr="0076100D" w:rsidRDefault="0076100D" w:rsidP="0076100D">
      <w:pPr>
        <w:jc w:val="both"/>
      </w:pPr>
      <w:r w:rsidRPr="0076100D">
        <w:rPr>
          <w:bCs/>
        </w:rPr>
        <w:t>(4)</w:t>
      </w:r>
      <w:r w:rsidRPr="0076100D">
        <w:t xml:space="preserve"> AFOE. ¿Qué diferencia hay entre un administrativo y un auxiliar administrativo en sanidad? [Internet]. AFOE. Afoe | Formación para el profesorado; 2023 [citado el 13 de julio de 2026]. Disponible en: https://www.afoe.org/diferencias-administrativo-auxiliar-sanidad/</w:t>
      </w:r>
    </w:p>
    <w:p w14:paraId="169516F5" w14:textId="77777777" w:rsidR="00BD5E05" w:rsidRPr="00BD5E05" w:rsidRDefault="00BD5E05" w:rsidP="00BD5E05">
      <w:pPr>
        <w:jc w:val="both"/>
      </w:pPr>
      <w:r w:rsidRPr="00BD5E05">
        <w:rPr>
          <w:b/>
        </w:rPr>
        <w:lastRenderedPageBreak/>
        <w:t>FUNCIONES DEL AUXILIAR ADMINISTRATIVO EN ATENCIÓN PRIMARIA FRENTE A ATENCIÓN HOSPITALARIA</w:t>
      </w:r>
    </w:p>
    <w:p w14:paraId="709E821A" w14:textId="77777777" w:rsidR="00BD5E05" w:rsidRPr="00BD5E05" w:rsidRDefault="00BD5E05" w:rsidP="00BD5E05">
      <w:pPr>
        <w:jc w:val="both"/>
        <w:rPr>
          <w:b/>
        </w:rPr>
      </w:pPr>
      <w:r w:rsidRPr="00BD5E05">
        <w:rPr>
          <w:b/>
        </w:rPr>
        <w:t>Introducción</w:t>
      </w:r>
    </w:p>
    <w:p w14:paraId="0BF21C21" w14:textId="77777777" w:rsidR="00BD5E05" w:rsidRPr="00BD5E05" w:rsidRDefault="00BD5E05" w:rsidP="00BD5E05">
      <w:pPr>
        <w:jc w:val="both"/>
      </w:pPr>
      <w:r w:rsidRPr="00BD5E05">
        <w:t>El auxiliar administrativo constituye una figura esencial dentro del Sistema Nacional de Salud, desempeñando funciones que garantizan el correcto funcionamiento de los procesos administrativos y facilitan la continuidad asistencial. Aunque las competencias básicas son comunes en todos los niveles sanitarios, las actividades desarrolladas presentan diferencias según el ámbito de trabajo. En Atención Primaria, el contacto con el usuario es continuo y la gestión administrativa está orientada a la accesibilidad y coordinación de la asistencia. En Atención Hospitalaria, las tareas administrativas son más complejas debido a la diversidad de servicios, el mayor volumen de pacientes y la necesidad de coordinación entre distintas unidades.</w:t>
      </w:r>
    </w:p>
    <w:p w14:paraId="622DDB0E" w14:textId="77777777" w:rsidR="00BD5E05" w:rsidRPr="00BD5E05" w:rsidRDefault="00BD5E05" w:rsidP="00BD5E05">
      <w:pPr>
        <w:jc w:val="both"/>
      </w:pPr>
      <w:r w:rsidRPr="00BD5E05">
        <w:t>La transformación digital y la implantación de la historia clínica electrónica han modificado la organización del trabajo administrativo, aumentando la importancia de las competencias digitales y de la atención personalizada al ciudadano. El objetivo de este trabajo es describir y comparar las funciones desempeñadas por el auxiliar administrativo en Atención Primaria y en Atención Hospitalaria, identificando sus principales diferencias y su contribución a la calidad asistencial.</w:t>
      </w:r>
    </w:p>
    <w:p w14:paraId="1439835A" w14:textId="77777777" w:rsidR="00BD5E05" w:rsidRPr="00BD5E05" w:rsidRDefault="00BD5E05" w:rsidP="00BD5E05">
      <w:pPr>
        <w:jc w:val="both"/>
        <w:rPr>
          <w:b/>
        </w:rPr>
      </w:pPr>
      <w:r w:rsidRPr="00BD5E05">
        <w:rPr>
          <w:b/>
        </w:rPr>
        <w:t>Material y métodos</w:t>
      </w:r>
    </w:p>
    <w:p w14:paraId="7D70D04F" w14:textId="77777777" w:rsidR="00BD5E05" w:rsidRPr="00BD5E05" w:rsidRDefault="00BD5E05" w:rsidP="00BD5E05">
      <w:pPr>
        <w:jc w:val="both"/>
      </w:pPr>
      <w:r w:rsidRPr="00BD5E05">
        <w:t xml:space="preserve">Se realizó una revisión bibliográfica narrativa de publicaciones científicas y documentos oficiales publicados entre 2018 y 2025. La búsqueda se efectuó en PubMed, </w:t>
      </w:r>
      <w:proofErr w:type="spellStart"/>
      <w:r w:rsidRPr="00BD5E05">
        <w:t>Scopus</w:t>
      </w:r>
      <w:proofErr w:type="spellEnd"/>
      <w:r w:rsidRPr="00BD5E05">
        <w:t xml:space="preserve"> y Google Scholar, complementándose con normativa del Ministerio de Sanidad, del Servicio de Salud del Principado de Asturias (SESPA) y legislación relacionada con la organización administrativa sanitaria. Se emplearon los descriptores "auxiliar administrativo sanitario", "Atención Primaria", "Atención Hospitalaria", "gestión administrativa" y "funciones administrativas". Se seleccionaron los documentos que describían las funciones del personal administrativo y su repercusión en la organización de los servicios sanitarios.</w:t>
      </w:r>
    </w:p>
    <w:p w14:paraId="6BF464E0" w14:textId="77777777" w:rsidR="00BD5E05" w:rsidRPr="00BD5E05" w:rsidRDefault="00BD5E05" w:rsidP="00BD5E05">
      <w:pPr>
        <w:jc w:val="both"/>
        <w:rPr>
          <w:b/>
        </w:rPr>
      </w:pPr>
      <w:r w:rsidRPr="00BD5E05">
        <w:rPr>
          <w:b/>
        </w:rPr>
        <w:t>Resultados</w:t>
      </w:r>
    </w:p>
    <w:p w14:paraId="19CEE116" w14:textId="77777777" w:rsidR="00BD5E05" w:rsidRPr="00BD5E05" w:rsidRDefault="00BD5E05" w:rsidP="00BD5E05">
      <w:pPr>
        <w:jc w:val="both"/>
      </w:pPr>
      <w:r w:rsidRPr="00BD5E05">
        <w:t>La revisión evidencia que el auxiliar administrativo desarrolla funciones comunes en ambos niveles asistenciales, como la gestión de agendas, citaciones, atención al usuario, registro de documentación, tramitación administrativa y utilización de aplicaciones informáticas corporativas. Asimismo, participa en la protección de datos personales y en la gestión de la documentación clínica conforme a la normativa vigente.</w:t>
      </w:r>
    </w:p>
    <w:p w14:paraId="309DB846" w14:textId="77777777" w:rsidR="00BD5E05" w:rsidRPr="00BD5E05" w:rsidRDefault="00BD5E05" w:rsidP="00BD5E05">
      <w:pPr>
        <w:jc w:val="both"/>
      </w:pPr>
      <w:r w:rsidRPr="00BD5E05">
        <w:lastRenderedPageBreak/>
        <w:t xml:space="preserve">En Atención Primaria, las funciones </w:t>
      </w:r>
      <w:proofErr w:type="gramStart"/>
      <w:r w:rsidRPr="00BD5E05">
        <w:t>se centran principalmente en</w:t>
      </w:r>
      <w:proofErr w:type="gramEnd"/>
      <w:r w:rsidRPr="00BD5E05">
        <w:t xml:space="preserve"> la atención directa al ciudadano, la gestión de citas, la actualización de datos administrativos, la coordinación con consultas médicas y de enfermería, la tramitación de prestaciones sanitarias y la orientación de los usuarios sobre los procedimientos disponibles. La relación con el paciente es continuada, favoreciendo una atención más personalizada.</w:t>
      </w:r>
    </w:p>
    <w:p w14:paraId="2DB32082" w14:textId="77777777" w:rsidR="00BD5E05" w:rsidRPr="00BD5E05" w:rsidRDefault="00BD5E05" w:rsidP="00BD5E05">
      <w:pPr>
        <w:jc w:val="both"/>
      </w:pPr>
      <w:r w:rsidRPr="00BD5E05">
        <w:t>Por el contrario, en Atención Hospitalaria las tareas administrativas presentan una mayor especialización. Destacan la gestión de ingresos y altas, programación de pruebas diagnósticas, coordinación entre servicios hospitalarios, gestión de consultas externas, control documental de episodios asistenciales y apoyo administrativo a unidades clínicas. El volumen de información y la complejidad organizativa requieren una coordinación constante con múltiples profesionales sanitarios.</w:t>
      </w:r>
    </w:p>
    <w:p w14:paraId="4BF2F537" w14:textId="77777777" w:rsidR="00BD5E05" w:rsidRPr="00BD5E05" w:rsidRDefault="00BD5E05" w:rsidP="00BD5E05">
      <w:pPr>
        <w:jc w:val="both"/>
      </w:pPr>
      <w:r w:rsidRPr="00BD5E05">
        <w:t>Los estudios revisados coinciden en que la digitalización ha incrementado la eficiencia en ambos ámbitos, aunque también exige formación continua del personal para adaptarse a nuevas aplicaciones y procedimientos electrónicos.</w:t>
      </w:r>
    </w:p>
    <w:p w14:paraId="42B61E97" w14:textId="77777777" w:rsidR="00BD5E05" w:rsidRPr="00BD5E05" w:rsidRDefault="00BD5E05" w:rsidP="00BD5E05">
      <w:pPr>
        <w:jc w:val="both"/>
        <w:rPr>
          <w:b/>
        </w:rPr>
      </w:pPr>
      <w:r w:rsidRPr="00BD5E05">
        <w:rPr>
          <w:b/>
        </w:rPr>
        <w:t>Conclusiones</w:t>
      </w:r>
    </w:p>
    <w:p w14:paraId="5FC05800" w14:textId="77777777" w:rsidR="00BD5E05" w:rsidRPr="00BD5E05" w:rsidRDefault="00BD5E05" w:rsidP="00BD5E05">
      <w:pPr>
        <w:jc w:val="both"/>
      </w:pPr>
      <w:r w:rsidRPr="00BD5E05">
        <w:t xml:space="preserve">El auxiliar administrativo desempeña un papel imprescindible tanto en Atención Primaria como en </w:t>
      </w:r>
    </w:p>
    <w:p w14:paraId="70FCED56" w14:textId="77777777" w:rsidR="00BD5E05" w:rsidRPr="00BD5E05" w:rsidRDefault="00BD5E05" w:rsidP="00BD5E05">
      <w:pPr>
        <w:jc w:val="both"/>
      </w:pPr>
      <w:r w:rsidRPr="00BD5E05">
        <w:t>Atención Hospitalaria, contribuyendo al funcionamiento eficiente del sistema sanitario y a la mejora de la experiencia del paciente. Mientras que en Atención Primaria predomina la atención directa, la accesibilidad y la gestión de la demanda asistencial, en Atención Hospitalaria destacan la coordinación de procesos complejos y la gestión documental especializada.</w:t>
      </w:r>
    </w:p>
    <w:p w14:paraId="3229E751" w14:textId="77777777" w:rsidR="00BD5E05" w:rsidRPr="00BD5E05" w:rsidRDefault="00BD5E05" w:rsidP="00BD5E05">
      <w:pPr>
        <w:jc w:val="both"/>
      </w:pPr>
      <w:r w:rsidRPr="00BD5E05">
        <w:t>La incorporación de herramientas digitales ha reforzado la importancia de este perfil profesional, haciendo necesaria la actualización permanente de sus competencias. La correcta organización administrativa repercute positivamente en la calidad asistencial, la seguridad del paciente y la optimización de los recursos sanitarios.</w:t>
      </w:r>
    </w:p>
    <w:p w14:paraId="0C9BD7A2" w14:textId="77777777" w:rsidR="00BD5E05" w:rsidRPr="00BD5E05" w:rsidRDefault="00BD5E05" w:rsidP="00BD5E05">
      <w:pPr>
        <w:jc w:val="both"/>
        <w:rPr>
          <w:b/>
        </w:rPr>
      </w:pPr>
      <w:r w:rsidRPr="00BD5E05">
        <w:rPr>
          <w:b/>
        </w:rPr>
        <w:t>Bibliografía</w:t>
      </w:r>
    </w:p>
    <w:p w14:paraId="51AC2716" w14:textId="77777777" w:rsidR="00BD5E05" w:rsidRPr="00BD5E05" w:rsidRDefault="00BD5E05" w:rsidP="00BD5E05">
      <w:pPr>
        <w:numPr>
          <w:ilvl w:val="0"/>
          <w:numId w:val="90"/>
        </w:numPr>
        <w:jc w:val="both"/>
      </w:pPr>
      <w:r w:rsidRPr="00BD5E05">
        <w:t>Ley 39/2015, de 1 de octubre, del Procedimiento Administrativo Común de las Administraciones Públicas.</w:t>
      </w:r>
    </w:p>
    <w:p w14:paraId="54644A89" w14:textId="77777777" w:rsidR="00BD5E05" w:rsidRPr="00BD5E05" w:rsidRDefault="00BD5E05" w:rsidP="00BD5E05">
      <w:pPr>
        <w:numPr>
          <w:ilvl w:val="0"/>
          <w:numId w:val="90"/>
        </w:numPr>
        <w:jc w:val="both"/>
      </w:pPr>
      <w:r w:rsidRPr="00BD5E05">
        <w:t>Ley 40/2015, de 1 de octubre, de Régimen Jurídico del Sector Público.</w:t>
      </w:r>
    </w:p>
    <w:p w14:paraId="268C57EA" w14:textId="77777777" w:rsidR="00BD5E05" w:rsidRPr="00BD5E05" w:rsidRDefault="00BD5E05" w:rsidP="00BD5E05">
      <w:pPr>
        <w:numPr>
          <w:ilvl w:val="0"/>
          <w:numId w:val="90"/>
        </w:numPr>
        <w:jc w:val="both"/>
      </w:pPr>
      <w:r w:rsidRPr="00BD5E05">
        <w:t>Ministerio de Sanidad. Estrategia de Salud Digital del Sistema Nacional de Salud. Madrid: Ministerio de Sanidad.</w:t>
      </w:r>
    </w:p>
    <w:p w14:paraId="7115864B" w14:textId="77777777" w:rsidR="00BD5E05" w:rsidRPr="00BD5E05" w:rsidRDefault="00BD5E05" w:rsidP="00BD5E05">
      <w:pPr>
        <w:numPr>
          <w:ilvl w:val="0"/>
          <w:numId w:val="90"/>
        </w:numPr>
        <w:jc w:val="both"/>
      </w:pPr>
      <w:r w:rsidRPr="00BD5E05">
        <w:lastRenderedPageBreak/>
        <w:t>Reglamento (UE) 2016/679 del Parlamento Europeo y del Consejo, de 27 de abril de 2016 (Reglamento General de Protección de Datos).</w:t>
      </w:r>
    </w:p>
    <w:p w14:paraId="61CDE6BA" w14:textId="77777777" w:rsidR="00BD5E05" w:rsidRPr="00BD5E05" w:rsidRDefault="00BD5E05" w:rsidP="00BD5E05">
      <w:pPr>
        <w:numPr>
          <w:ilvl w:val="0"/>
          <w:numId w:val="90"/>
        </w:numPr>
        <w:jc w:val="both"/>
      </w:pPr>
      <w:r w:rsidRPr="00BD5E05">
        <w:t>Servicio de Salud del Principado de Asturias (SESPA). Manuales y procedimientos de gestión administrativa sanitaria.</w:t>
      </w:r>
    </w:p>
    <w:p w14:paraId="33195499" w14:textId="77777777" w:rsidR="00BD5E05" w:rsidRPr="00BD5E05" w:rsidRDefault="00BD5E05" w:rsidP="00BD5E05">
      <w:pPr>
        <w:numPr>
          <w:ilvl w:val="0"/>
          <w:numId w:val="90"/>
        </w:numPr>
        <w:jc w:val="both"/>
      </w:pPr>
      <w:r w:rsidRPr="00BD5E05">
        <w:t>Ley 41/2002, de 14 de noviembre, básica reguladora de la autonomía del paciente y de derechos y obligaciones en materia de información y documentación clínica.</w:t>
      </w:r>
    </w:p>
    <w:p w14:paraId="4CDE6A02" w14:textId="77777777" w:rsidR="00821266" w:rsidRDefault="00821266" w:rsidP="000E46B3">
      <w:pPr>
        <w:jc w:val="both"/>
      </w:pPr>
    </w:p>
    <w:p w14:paraId="374087AE" w14:textId="77777777" w:rsidR="00BD5E05" w:rsidRDefault="00BD5E05" w:rsidP="000E46B3">
      <w:pPr>
        <w:jc w:val="both"/>
      </w:pPr>
    </w:p>
    <w:p w14:paraId="7A12864B" w14:textId="77777777" w:rsidR="00BD5E05" w:rsidRDefault="00BD5E05" w:rsidP="000E46B3">
      <w:pPr>
        <w:jc w:val="both"/>
      </w:pPr>
    </w:p>
    <w:p w14:paraId="0A42BA3C" w14:textId="77777777" w:rsidR="00BD5E05" w:rsidRDefault="00BD5E05" w:rsidP="000E46B3">
      <w:pPr>
        <w:jc w:val="both"/>
      </w:pPr>
    </w:p>
    <w:p w14:paraId="4527E13E" w14:textId="77777777" w:rsidR="00BD5E05" w:rsidRDefault="00BD5E05" w:rsidP="000E46B3">
      <w:pPr>
        <w:jc w:val="both"/>
      </w:pPr>
    </w:p>
    <w:p w14:paraId="5A0F85C1" w14:textId="77777777" w:rsidR="00BD5E05" w:rsidRDefault="00BD5E05" w:rsidP="000E46B3">
      <w:pPr>
        <w:jc w:val="both"/>
      </w:pPr>
    </w:p>
    <w:p w14:paraId="15B12126" w14:textId="77777777" w:rsidR="00BD5E05" w:rsidRDefault="00BD5E05" w:rsidP="000E46B3">
      <w:pPr>
        <w:jc w:val="both"/>
      </w:pPr>
    </w:p>
    <w:p w14:paraId="18C6CF3C" w14:textId="77777777" w:rsidR="00BD5E05" w:rsidRDefault="00BD5E05" w:rsidP="000E46B3">
      <w:pPr>
        <w:jc w:val="both"/>
      </w:pPr>
    </w:p>
    <w:p w14:paraId="59186159" w14:textId="77777777" w:rsidR="00BD5E05" w:rsidRDefault="00BD5E05" w:rsidP="000E46B3">
      <w:pPr>
        <w:jc w:val="both"/>
      </w:pPr>
    </w:p>
    <w:p w14:paraId="293025E4" w14:textId="77777777" w:rsidR="00BD5E05" w:rsidRDefault="00BD5E05" w:rsidP="000E46B3">
      <w:pPr>
        <w:jc w:val="both"/>
      </w:pPr>
    </w:p>
    <w:p w14:paraId="7110E863" w14:textId="77777777" w:rsidR="00BD5E05" w:rsidRDefault="00BD5E05" w:rsidP="000E46B3">
      <w:pPr>
        <w:jc w:val="both"/>
      </w:pPr>
    </w:p>
    <w:p w14:paraId="6F17CE3A" w14:textId="77777777" w:rsidR="00BD5E05" w:rsidRDefault="00BD5E05" w:rsidP="000E46B3">
      <w:pPr>
        <w:jc w:val="both"/>
      </w:pPr>
    </w:p>
    <w:p w14:paraId="2525A6DF" w14:textId="77777777" w:rsidR="00BD5E05" w:rsidRDefault="00BD5E05" w:rsidP="000E46B3">
      <w:pPr>
        <w:jc w:val="both"/>
      </w:pPr>
    </w:p>
    <w:p w14:paraId="25D32DAB" w14:textId="77777777" w:rsidR="00BD5E05" w:rsidRDefault="00BD5E05" w:rsidP="000E46B3">
      <w:pPr>
        <w:jc w:val="both"/>
      </w:pPr>
    </w:p>
    <w:p w14:paraId="57A56D07" w14:textId="77777777" w:rsidR="00BD5E05" w:rsidRDefault="00BD5E05" w:rsidP="000E46B3">
      <w:pPr>
        <w:jc w:val="both"/>
      </w:pPr>
    </w:p>
    <w:p w14:paraId="45A498E5" w14:textId="77777777" w:rsidR="00BD5E05" w:rsidRDefault="00BD5E05" w:rsidP="000E46B3">
      <w:pPr>
        <w:jc w:val="both"/>
      </w:pPr>
    </w:p>
    <w:p w14:paraId="1359E8BF" w14:textId="77777777" w:rsidR="00BD5E05" w:rsidRDefault="00BD5E05" w:rsidP="000E46B3">
      <w:pPr>
        <w:jc w:val="both"/>
      </w:pPr>
    </w:p>
    <w:p w14:paraId="47B44581" w14:textId="77777777" w:rsidR="00BD5E05" w:rsidRDefault="00BD5E05" w:rsidP="000E46B3">
      <w:pPr>
        <w:jc w:val="both"/>
      </w:pPr>
    </w:p>
    <w:p w14:paraId="1D389645" w14:textId="77777777" w:rsidR="00BD5E05" w:rsidRDefault="00BD5E05" w:rsidP="000E46B3">
      <w:pPr>
        <w:jc w:val="both"/>
      </w:pPr>
    </w:p>
    <w:p w14:paraId="016FBF6E" w14:textId="77777777" w:rsidR="00BD5E05" w:rsidRDefault="00BD5E05" w:rsidP="000E46B3">
      <w:pPr>
        <w:jc w:val="both"/>
      </w:pPr>
    </w:p>
    <w:p w14:paraId="69F6356E" w14:textId="77777777" w:rsidR="00BD5E05" w:rsidRDefault="00BD5E05" w:rsidP="000E46B3">
      <w:pPr>
        <w:jc w:val="both"/>
      </w:pPr>
    </w:p>
    <w:p w14:paraId="5491093C" w14:textId="77777777" w:rsidR="00BD5E05" w:rsidRDefault="00BD5E05" w:rsidP="000E46B3">
      <w:pPr>
        <w:jc w:val="both"/>
      </w:pPr>
    </w:p>
    <w:p w14:paraId="197E460E" w14:textId="77777777" w:rsidR="009909D0" w:rsidRPr="009909D0" w:rsidRDefault="009909D0" w:rsidP="009909D0">
      <w:pPr>
        <w:jc w:val="both"/>
      </w:pPr>
      <w:r w:rsidRPr="009909D0">
        <w:rPr>
          <w:b/>
        </w:rPr>
        <w:lastRenderedPageBreak/>
        <w:t>PREVENCIÓN DEL ACOSO LABORAL EN EL PERSONAL NO SANITARIO: ESTRATEGIAS PARA UN ENTORNO DE TRABAJO SALUDABLE</w:t>
      </w:r>
    </w:p>
    <w:p w14:paraId="1C52444E" w14:textId="77777777" w:rsidR="009909D0" w:rsidRPr="009909D0" w:rsidRDefault="009909D0" w:rsidP="009909D0">
      <w:pPr>
        <w:jc w:val="both"/>
        <w:rPr>
          <w:b/>
        </w:rPr>
      </w:pPr>
      <w:r w:rsidRPr="009909D0">
        <w:rPr>
          <w:b/>
        </w:rPr>
        <w:t>Introducción</w:t>
      </w:r>
    </w:p>
    <w:p w14:paraId="1B13272D" w14:textId="77777777" w:rsidR="009909D0" w:rsidRPr="009909D0" w:rsidRDefault="009909D0" w:rsidP="009909D0">
      <w:pPr>
        <w:jc w:val="both"/>
      </w:pPr>
      <w:r w:rsidRPr="009909D0">
        <w:t xml:space="preserve">El acoso laboral o </w:t>
      </w:r>
      <w:proofErr w:type="spellStart"/>
      <w:proofErr w:type="gramStart"/>
      <w:r w:rsidRPr="009909D0">
        <w:rPr>
          <w:i/>
        </w:rPr>
        <w:t>mobbing</w:t>
      </w:r>
      <w:proofErr w:type="spellEnd"/>
      <w:proofErr w:type="gramEnd"/>
      <w:r w:rsidRPr="009909D0">
        <w:t xml:space="preserve"> constituye uno de los principales riesgos psicosociales en el ámbito laboral y puede afectar a cualquier categoría profesional, incluido el personal no sanitario que desarrolla funciones administrativas y de apoyo en los centros de salud y hospitales. Se caracteriza por la exposición reiterada a conductas hostiles, humillantes o intimidatorias que tienen como finalidad o consecuencia menoscabar la dignidad del trabajador, deteriorar su bienestar psicológico y afectar a su desempeño profesional.</w:t>
      </w:r>
    </w:p>
    <w:p w14:paraId="48D29DB9" w14:textId="77777777" w:rsidR="009909D0" w:rsidRPr="009909D0" w:rsidRDefault="009909D0" w:rsidP="009909D0">
      <w:pPr>
        <w:jc w:val="both"/>
      </w:pPr>
      <w:r w:rsidRPr="009909D0">
        <w:t>El personal auxiliar administrativo mantiene un contacto permanente con usuarios, profesionales sanitarios y mandos intermedios, lo que favorece la aparición de situaciones de conflicto interpersonal si no existen adecuados mecanismos de prevención y resolución. Las consecuencias del acoso laboral incluyen ansiedad, estrés, disminución de la satisfacción laboral, absentismo, reducción de la productividad y deterioro del clima organizacional. La prevención constituye la estrategia más eficaz para minimizar su aparición y promover entornos laborales seguros y saludables. El objetivo de este trabajo es revisar las principales estrategias preventivas frente al acoso laboral dirigidas al personal no sanitario del ámbito sanitario.</w:t>
      </w:r>
    </w:p>
    <w:p w14:paraId="52F99AC5" w14:textId="77777777" w:rsidR="009909D0" w:rsidRPr="009909D0" w:rsidRDefault="009909D0" w:rsidP="009909D0">
      <w:pPr>
        <w:jc w:val="both"/>
        <w:rPr>
          <w:b/>
        </w:rPr>
      </w:pPr>
      <w:r w:rsidRPr="009909D0">
        <w:rPr>
          <w:b/>
        </w:rPr>
        <w:t>Material y métodos</w:t>
      </w:r>
    </w:p>
    <w:p w14:paraId="4CB36C3B" w14:textId="77777777" w:rsidR="009909D0" w:rsidRPr="009909D0" w:rsidRDefault="009909D0" w:rsidP="009909D0">
      <w:pPr>
        <w:jc w:val="both"/>
      </w:pPr>
      <w:r w:rsidRPr="009909D0">
        <w:t xml:space="preserve">Se realizó una revisión bibliográfica narrativa de publicaciones científicas y documentos institucionales publicados entre 2018 y 2025. La búsqueda se efectuó en las bases de datos PubMed, </w:t>
      </w:r>
      <w:proofErr w:type="spellStart"/>
      <w:r w:rsidRPr="009909D0">
        <w:t>Scopus</w:t>
      </w:r>
      <w:proofErr w:type="spellEnd"/>
      <w:r w:rsidRPr="009909D0">
        <w:t xml:space="preserve"> y Google Scholar mediante los términos "</w:t>
      </w:r>
      <w:proofErr w:type="spellStart"/>
      <w:proofErr w:type="gramStart"/>
      <w:r w:rsidRPr="009909D0">
        <w:t>mobbing</w:t>
      </w:r>
      <w:proofErr w:type="spellEnd"/>
      <w:proofErr w:type="gramEnd"/>
      <w:r w:rsidRPr="009909D0">
        <w:t>", "acoso laboral", "riesgos psicosociales", "personal administrativo sanitario" y "prevención". Asimismo, se consultaron documentos del Instituto Nacional de Seguridad y Salud en el Trabajo (INSST), la Organización Internacional del Trabajo (OIT), la Organización Mundial de la Salud (OMS) y la normativa española relacionada con la prevención de riesgos laborales. Se seleccionaron los trabajos centrados en la prevención del acoso laboral y en las intervenciones organizativas orientadas a mejorar el bienestar de los trabajadores.</w:t>
      </w:r>
    </w:p>
    <w:p w14:paraId="1A4BE628" w14:textId="77777777" w:rsidR="009909D0" w:rsidRPr="009909D0" w:rsidRDefault="009909D0" w:rsidP="009909D0">
      <w:pPr>
        <w:jc w:val="both"/>
        <w:rPr>
          <w:b/>
        </w:rPr>
      </w:pPr>
      <w:r w:rsidRPr="009909D0">
        <w:rPr>
          <w:b/>
        </w:rPr>
        <w:t>Resultados</w:t>
      </w:r>
    </w:p>
    <w:p w14:paraId="6CC95463" w14:textId="77777777" w:rsidR="009909D0" w:rsidRPr="009909D0" w:rsidRDefault="009909D0" w:rsidP="009909D0">
      <w:pPr>
        <w:jc w:val="both"/>
      </w:pPr>
      <w:r w:rsidRPr="009909D0">
        <w:t>La evidencia científica señala que la prevención del acoso laboral debe fundamentarse en una estrategia organizativa integral. Entre las medidas más eficaces destacan la implantación de protocolos específicos frente al acoso, la existencia de canales confidenciales de comunicación, la investigación rápida de las denuncias y la aplicación de procedimientos objetivos para la resolución de conflictos.</w:t>
      </w:r>
    </w:p>
    <w:p w14:paraId="02B73B3A" w14:textId="77777777" w:rsidR="009909D0" w:rsidRPr="009909D0" w:rsidRDefault="009909D0" w:rsidP="009909D0">
      <w:pPr>
        <w:jc w:val="both"/>
      </w:pPr>
      <w:r w:rsidRPr="009909D0">
        <w:lastRenderedPageBreak/>
        <w:t>Los estudios revisados muestran que la formación periódica de directivos y trabajadores en habilidades de comunicación, gestión de conflictos y prevención de riesgos psicosociales favorece la detección precoz de conductas inadecuadas y mejora el clima laboral. Asimismo, el desarrollo de estilos de liderazgo participativo y el fomento del respeto mutuo reducen la incidencia de situaciones de hostigamiento.</w:t>
      </w:r>
    </w:p>
    <w:p w14:paraId="4A67CADB" w14:textId="77777777" w:rsidR="009909D0" w:rsidRPr="009909D0" w:rsidRDefault="009909D0" w:rsidP="009909D0">
      <w:pPr>
        <w:jc w:val="both"/>
      </w:pPr>
      <w:r w:rsidRPr="009909D0">
        <w:t>En el personal no sanitario, la definición clara de funciones, una distribución equilibrada de las cargas de trabajo y la participación en la toma de decisiones contribuyen a disminuir los factores organizativos asociados al acoso laboral. Además, la disponibilidad de apoyo psicológico y de programas de promoción de la salud mental facilita la recuperación de los trabajadores afectados y reduce el impacto sobre la organización.</w:t>
      </w:r>
    </w:p>
    <w:p w14:paraId="0ADE028A" w14:textId="77777777" w:rsidR="009909D0" w:rsidRPr="009909D0" w:rsidRDefault="009909D0" w:rsidP="009909D0">
      <w:pPr>
        <w:jc w:val="both"/>
      </w:pPr>
      <w:r w:rsidRPr="009909D0">
        <w:t>La literatura revisada coincide en que la implicación activa de la dirección y el compromiso institucional son determinantes para consolidar una cultura preventiva basada en el respeto, la igualdad y la tolerancia cero frente a cualquier forma de violencia en el trabajo.</w:t>
      </w:r>
    </w:p>
    <w:p w14:paraId="02141D7C" w14:textId="77777777" w:rsidR="009909D0" w:rsidRPr="009909D0" w:rsidRDefault="009909D0" w:rsidP="009909D0">
      <w:pPr>
        <w:jc w:val="both"/>
        <w:rPr>
          <w:b/>
        </w:rPr>
      </w:pPr>
      <w:r w:rsidRPr="009909D0">
        <w:rPr>
          <w:b/>
        </w:rPr>
        <w:t>Conclusiones</w:t>
      </w:r>
    </w:p>
    <w:p w14:paraId="58BBDE1C" w14:textId="77777777" w:rsidR="009909D0" w:rsidRPr="009909D0" w:rsidRDefault="009909D0" w:rsidP="009909D0">
      <w:pPr>
        <w:jc w:val="both"/>
      </w:pPr>
      <w:r w:rsidRPr="009909D0">
        <w:t>El acoso laboral representa un importante riesgo psicosocial que afecta al bienestar del personal no sanitario y puede repercutir negativamente en la calidad de los servicios prestados. La prevención requiere actuaciones coordinadas que integren medidas organizativas, formación continua, protocolos de actuación y sistemas eficaces de comunicación y apoyo.</w:t>
      </w:r>
    </w:p>
    <w:p w14:paraId="3A44BDA1" w14:textId="77777777" w:rsidR="009909D0" w:rsidRPr="009909D0" w:rsidRDefault="009909D0" w:rsidP="009909D0">
      <w:pPr>
        <w:jc w:val="both"/>
      </w:pPr>
      <w:r w:rsidRPr="009909D0">
        <w:t xml:space="preserve">El personal auxiliar administrativo desempeña un papel esencial en el funcionamiento de los centros sanitarios, por lo que resulta prioritario garantizar un entorno laboral seguro, respetuoso y </w:t>
      </w:r>
    </w:p>
    <w:p w14:paraId="7A2B91B7" w14:textId="77777777" w:rsidR="009909D0" w:rsidRPr="009909D0" w:rsidRDefault="009909D0" w:rsidP="009909D0">
      <w:pPr>
        <w:jc w:val="both"/>
      </w:pPr>
      <w:r w:rsidRPr="009909D0">
        <w:t>libre de conductas de acoso. La promoción de una cultura organizacional basada en la prevención, el respeto y la colaboración favorece tanto la salud de los trabajadores como la eficiencia y calidad de la atención ofrecida a los ciudadanos.</w:t>
      </w:r>
    </w:p>
    <w:p w14:paraId="74821D93" w14:textId="77777777" w:rsidR="009909D0" w:rsidRPr="009909D0" w:rsidRDefault="009909D0" w:rsidP="009909D0">
      <w:pPr>
        <w:jc w:val="both"/>
        <w:rPr>
          <w:b/>
        </w:rPr>
      </w:pPr>
      <w:r w:rsidRPr="009909D0">
        <w:rPr>
          <w:b/>
        </w:rPr>
        <w:t>Bibliografía</w:t>
      </w:r>
    </w:p>
    <w:p w14:paraId="3EB59999" w14:textId="77777777" w:rsidR="009909D0" w:rsidRPr="009909D0" w:rsidRDefault="009909D0" w:rsidP="009909D0">
      <w:pPr>
        <w:numPr>
          <w:ilvl w:val="0"/>
          <w:numId w:val="91"/>
        </w:numPr>
        <w:jc w:val="both"/>
      </w:pPr>
      <w:r w:rsidRPr="009909D0">
        <w:t>Ley 31/1995, de 8 de noviembre, de Prevención de Riesgos Laborales.</w:t>
      </w:r>
    </w:p>
    <w:p w14:paraId="57D24C89" w14:textId="77777777" w:rsidR="009909D0" w:rsidRPr="009909D0" w:rsidRDefault="009909D0" w:rsidP="009909D0">
      <w:pPr>
        <w:numPr>
          <w:ilvl w:val="0"/>
          <w:numId w:val="91"/>
        </w:numPr>
        <w:jc w:val="both"/>
      </w:pPr>
      <w:r w:rsidRPr="009909D0">
        <w:t>Ley Orgánica 3/2007, de 22 de marzo, para la igualdad efectiva de mujeres y hombres.</w:t>
      </w:r>
    </w:p>
    <w:p w14:paraId="39CF0853" w14:textId="77777777" w:rsidR="009909D0" w:rsidRPr="009909D0" w:rsidRDefault="009909D0" w:rsidP="009909D0">
      <w:pPr>
        <w:numPr>
          <w:ilvl w:val="0"/>
          <w:numId w:val="91"/>
        </w:numPr>
        <w:jc w:val="both"/>
      </w:pPr>
      <w:r w:rsidRPr="009909D0">
        <w:t>Instituto Nacional de Seguridad y Salud en el Trabajo. Guía de actuaciones de la Inspección de Trabajo y Seguridad Social sobre riesgos psicosociales.</w:t>
      </w:r>
    </w:p>
    <w:p w14:paraId="567F28D9" w14:textId="77777777" w:rsidR="009909D0" w:rsidRPr="009909D0" w:rsidRDefault="009909D0" w:rsidP="009909D0">
      <w:pPr>
        <w:numPr>
          <w:ilvl w:val="0"/>
          <w:numId w:val="91"/>
        </w:numPr>
        <w:jc w:val="both"/>
      </w:pPr>
      <w:r w:rsidRPr="009909D0">
        <w:lastRenderedPageBreak/>
        <w:t>Organización Internacional del Trabajo. Convenio núm. 190 sobre la violencia y el acoso en el mundo del trabajo. 2019.</w:t>
      </w:r>
    </w:p>
    <w:p w14:paraId="674EFEB9" w14:textId="77777777" w:rsidR="009909D0" w:rsidRPr="009909D0" w:rsidRDefault="009909D0" w:rsidP="009909D0">
      <w:pPr>
        <w:numPr>
          <w:ilvl w:val="0"/>
          <w:numId w:val="91"/>
        </w:numPr>
        <w:jc w:val="both"/>
      </w:pPr>
      <w:r w:rsidRPr="009909D0">
        <w:t xml:space="preserve">Organización Mundial de la Salud. </w:t>
      </w:r>
      <w:r w:rsidRPr="009909D0">
        <w:rPr>
          <w:lang w:val="en-GB"/>
        </w:rPr>
        <w:t xml:space="preserve">Guidelines on Mental Health at Work. </w:t>
      </w:r>
      <w:r w:rsidRPr="009909D0">
        <w:t>Ginebra: OMS; 2022.</w:t>
      </w:r>
    </w:p>
    <w:p w14:paraId="5C8EDCA4" w14:textId="77777777" w:rsidR="009909D0" w:rsidRPr="009909D0" w:rsidRDefault="009909D0" w:rsidP="009909D0">
      <w:pPr>
        <w:numPr>
          <w:ilvl w:val="0"/>
          <w:numId w:val="91"/>
        </w:numPr>
        <w:jc w:val="both"/>
        <w:rPr>
          <w:lang w:val="en-GB"/>
        </w:rPr>
      </w:pPr>
      <w:r w:rsidRPr="009909D0">
        <w:t xml:space="preserve">Agencia Europea para la Seguridad y la Salud en el Trabajo (EU-OSHA). </w:t>
      </w:r>
      <w:r w:rsidRPr="009909D0">
        <w:rPr>
          <w:lang w:val="en-GB"/>
        </w:rPr>
        <w:t>Management of psychosocial risks at work: An analysis of the findings of the European Survey of Enterprises on New and Emerging Risks (ESENER).</w:t>
      </w:r>
    </w:p>
    <w:p w14:paraId="3D843FD8" w14:textId="77777777" w:rsidR="00BD5E05" w:rsidRDefault="00BD5E05" w:rsidP="000E46B3">
      <w:pPr>
        <w:jc w:val="both"/>
        <w:rPr>
          <w:lang w:val="en-GB"/>
        </w:rPr>
      </w:pPr>
    </w:p>
    <w:p w14:paraId="5EC1F6C8" w14:textId="77777777" w:rsidR="009909D0" w:rsidRDefault="009909D0" w:rsidP="000E46B3">
      <w:pPr>
        <w:jc w:val="both"/>
        <w:rPr>
          <w:lang w:val="en-GB"/>
        </w:rPr>
      </w:pPr>
    </w:p>
    <w:p w14:paraId="7B1DC323" w14:textId="77777777" w:rsidR="009909D0" w:rsidRDefault="009909D0" w:rsidP="000E46B3">
      <w:pPr>
        <w:jc w:val="both"/>
        <w:rPr>
          <w:lang w:val="en-GB"/>
        </w:rPr>
      </w:pPr>
    </w:p>
    <w:p w14:paraId="459912B5" w14:textId="77777777" w:rsidR="009909D0" w:rsidRDefault="009909D0" w:rsidP="000E46B3">
      <w:pPr>
        <w:jc w:val="both"/>
        <w:rPr>
          <w:lang w:val="en-GB"/>
        </w:rPr>
      </w:pPr>
    </w:p>
    <w:p w14:paraId="7E29439A" w14:textId="77777777" w:rsidR="009909D0" w:rsidRDefault="009909D0" w:rsidP="000E46B3">
      <w:pPr>
        <w:jc w:val="both"/>
        <w:rPr>
          <w:lang w:val="en-GB"/>
        </w:rPr>
      </w:pPr>
    </w:p>
    <w:p w14:paraId="52C350D5" w14:textId="77777777" w:rsidR="009909D0" w:rsidRDefault="009909D0" w:rsidP="000E46B3">
      <w:pPr>
        <w:jc w:val="both"/>
        <w:rPr>
          <w:lang w:val="en-GB"/>
        </w:rPr>
      </w:pPr>
    </w:p>
    <w:p w14:paraId="7C7F3CD5" w14:textId="77777777" w:rsidR="009909D0" w:rsidRDefault="009909D0" w:rsidP="000E46B3">
      <w:pPr>
        <w:jc w:val="both"/>
        <w:rPr>
          <w:lang w:val="en-GB"/>
        </w:rPr>
      </w:pPr>
    </w:p>
    <w:p w14:paraId="17830C92" w14:textId="77777777" w:rsidR="009909D0" w:rsidRDefault="009909D0" w:rsidP="000E46B3">
      <w:pPr>
        <w:jc w:val="both"/>
        <w:rPr>
          <w:lang w:val="en-GB"/>
        </w:rPr>
      </w:pPr>
    </w:p>
    <w:p w14:paraId="46CCB70F" w14:textId="77777777" w:rsidR="009909D0" w:rsidRDefault="009909D0" w:rsidP="000E46B3">
      <w:pPr>
        <w:jc w:val="both"/>
        <w:rPr>
          <w:lang w:val="en-GB"/>
        </w:rPr>
      </w:pPr>
    </w:p>
    <w:p w14:paraId="700C8D75" w14:textId="77777777" w:rsidR="009909D0" w:rsidRDefault="009909D0" w:rsidP="000E46B3">
      <w:pPr>
        <w:jc w:val="both"/>
        <w:rPr>
          <w:lang w:val="en-GB"/>
        </w:rPr>
      </w:pPr>
    </w:p>
    <w:p w14:paraId="6CE4BFC6" w14:textId="77777777" w:rsidR="009909D0" w:rsidRDefault="009909D0" w:rsidP="000E46B3">
      <w:pPr>
        <w:jc w:val="both"/>
        <w:rPr>
          <w:lang w:val="en-GB"/>
        </w:rPr>
      </w:pPr>
    </w:p>
    <w:p w14:paraId="2EA3951A" w14:textId="77777777" w:rsidR="009909D0" w:rsidRDefault="009909D0" w:rsidP="000E46B3">
      <w:pPr>
        <w:jc w:val="both"/>
        <w:rPr>
          <w:lang w:val="en-GB"/>
        </w:rPr>
      </w:pPr>
    </w:p>
    <w:p w14:paraId="7682F588" w14:textId="77777777" w:rsidR="009909D0" w:rsidRDefault="009909D0" w:rsidP="000E46B3">
      <w:pPr>
        <w:jc w:val="both"/>
        <w:rPr>
          <w:lang w:val="en-GB"/>
        </w:rPr>
      </w:pPr>
    </w:p>
    <w:p w14:paraId="6F444486" w14:textId="77777777" w:rsidR="009909D0" w:rsidRDefault="009909D0" w:rsidP="000E46B3">
      <w:pPr>
        <w:jc w:val="both"/>
        <w:rPr>
          <w:lang w:val="en-GB"/>
        </w:rPr>
      </w:pPr>
    </w:p>
    <w:p w14:paraId="5E6872E1" w14:textId="77777777" w:rsidR="009909D0" w:rsidRDefault="009909D0" w:rsidP="000E46B3">
      <w:pPr>
        <w:jc w:val="both"/>
        <w:rPr>
          <w:lang w:val="en-GB"/>
        </w:rPr>
      </w:pPr>
    </w:p>
    <w:p w14:paraId="2FADC3B4" w14:textId="77777777" w:rsidR="009909D0" w:rsidRDefault="009909D0" w:rsidP="000E46B3">
      <w:pPr>
        <w:jc w:val="both"/>
        <w:rPr>
          <w:lang w:val="en-GB"/>
        </w:rPr>
      </w:pPr>
    </w:p>
    <w:p w14:paraId="17AEC653" w14:textId="77777777" w:rsidR="009909D0" w:rsidRDefault="009909D0" w:rsidP="000E46B3">
      <w:pPr>
        <w:jc w:val="both"/>
        <w:rPr>
          <w:lang w:val="en-GB"/>
        </w:rPr>
      </w:pPr>
    </w:p>
    <w:p w14:paraId="08F43E42" w14:textId="77777777" w:rsidR="009909D0" w:rsidRDefault="009909D0" w:rsidP="000E46B3">
      <w:pPr>
        <w:jc w:val="both"/>
        <w:rPr>
          <w:lang w:val="en-GB"/>
        </w:rPr>
      </w:pPr>
    </w:p>
    <w:p w14:paraId="69A38D29" w14:textId="77777777" w:rsidR="009909D0" w:rsidRDefault="009909D0" w:rsidP="000E46B3">
      <w:pPr>
        <w:jc w:val="both"/>
        <w:rPr>
          <w:lang w:val="en-GB"/>
        </w:rPr>
      </w:pPr>
    </w:p>
    <w:p w14:paraId="2BF75767" w14:textId="77777777" w:rsidR="009909D0" w:rsidRDefault="009909D0" w:rsidP="000E46B3">
      <w:pPr>
        <w:jc w:val="both"/>
        <w:rPr>
          <w:lang w:val="en-GB"/>
        </w:rPr>
      </w:pPr>
    </w:p>
    <w:p w14:paraId="2DE70913" w14:textId="77777777" w:rsidR="009909D0" w:rsidRDefault="009909D0" w:rsidP="000E46B3">
      <w:pPr>
        <w:jc w:val="both"/>
        <w:rPr>
          <w:lang w:val="en-GB"/>
        </w:rPr>
      </w:pPr>
    </w:p>
    <w:p w14:paraId="17DB1F9F" w14:textId="77777777" w:rsidR="009909D0" w:rsidRDefault="009909D0" w:rsidP="000E46B3">
      <w:pPr>
        <w:jc w:val="both"/>
        <w:rPr>
          <w:lang w:val="en-GB"/>
        </w:rPr>
      </w:pPr>
    </w:p>
    <w:p w14:paraId="00574A31" w14:textId="77777777" w:rsidR="00501D3E" w:rsidRPr="00501D3E" w:rsidRDefault="00501D3E" w:rsidP="00501D3E">
      <w:pPr>
        <w:jc w:val="both"/>
      </w:pPr>
      <w:r w:rsidRPr="00501D3E">
        <w:rPr>
          <w:b/>
        </w:rPr>
        <w:lastRenderedPageBreak/>
        <w:t>IMPACTO DE LA ADMINISTRACIÓN ELECTRÓNICA EN LA ATENCIÓN AL USUARIO</w:t>
      </w:r>
    </w:p>
    <w:p w14:paraId="2FC5DD65" w14:textId="77777777" w:rsidR="00501D3E" w:rsidRPr="00501D3E" w:rsidRDefault="00501D3E" w:rsidP="00501D3E">
      <w:pPr>
        <w:jc w:val="both"/>
        <w:rPr>
          <w:b/>
        </w:rPr>
      </w:pPr>
      <w:r w:rsidRPr="00501D3E">
        <w:rPr>
          <w:b/>
        </w:rPr>
        <w:t>Introducción</w:t>
      </w:r>
    </w:p>
    <w:p w14:paraId="54CB29E2" w14:textId="77777777" w:rsidR="00501D3E" w:rsidRPr="00501D3E" w:rsidRDefault="00501D3E" w:rsidP="00501D3E">
      <w:pPr>
        <w:jc w:val="both"/>
      </w:pPr>
      <w:r w:rsidRPr="00501D3E">
        <w:t>La transformación digital de las administraciones públicas ha supuesto un cambio significativo en la prestación de los servicios sanitarios. En el ámbito del Servicio de Salud del Principado de Asturias (SESPA), la implantación de la administración electrónica ha permitido agilizar numerosos procedimientos, como la gestión de citas, la tramitación de documentación administrativa y la comunicación entre los usuarios y los centros sanitarios. Estas herramientas contribuyen a reducir los tiempos de espera, mejorar la accesibilidad a los servicios y optimizar los recursos disponibles.</w:t>
      </w:r>
    </w:p>
    <w:p w14:paraId="1112A230" w14:textId="77777777" w:rsidR="00501D3E" w:rsidRPr="00501D3E" w:rsidRDefault="00501D3E" w:rsidP="00501D3E">
      <w:pPr>
        <w:jc w:val="both"/>
      </w:pPr>
      <w:r w:rsidRPr="00501D3E">
        <w:t>El personal auxiliar administrativo desempeña un papel fundamental en este proceso de digitalización, actuando como enlace entre los sistemas de información y los ciudadanos. Sin embargo, la incorporación de nuevas tecnologías también plantea retos relacionados con la formación del personal, la brecha digital y la protección de los datos personales. El objetivo de este trabajo es analizar el impacto de la administración electrónica en la atención al usuario desde la perspectiva de la eficiencia y la calidad del servicio.</w:t>
      </w:r>
    </w:p>
    <w:p w14:paraId="12E4D22C" w14:textId="77777777" w:rsidR="00501D3E" w:rsidRPr="00501D3E" w:rsidRDefault="00501D3E" w:rsidP="00501D3E">
      <w:pPr>
        <w:jc w:val="both"/>
        <w:rPr>
          <w:b/>
        </w:rPr>
      </w:pPr>
      <w:r w:rsidRPr="00501D3E">
        <w:rPr>
          <w:b/>
        </w:rPr>
        <w:t>Material y métodos</w:t>
      </w:r>
    </w:p>
    <w:p w14:paraId="6F5FA771" w14:textId="77777777" w:rsidR="00501D3E" w:rsidRPr="00501D3E" w:rsidRDefault="00501D3E" w:rsidP="00501D3E">
      <w:pPr>
        <w:jc w:val="both"/>
      </w:pPr>
      <w:r w:rsidRPr="00501D3E">
        <w:t xml:space="preserve">Se realizó una revisión bibliográfica de artículos científicos, documentos institucionales y normativa publicada entre 2019 y 2025 en las bases de datos PubMed, </w:t>
      </w:r>
      <w:proofErr w:type="spellStart"/>
      <w:r w:rsidRPr="00501D3E">
        <w:t>Scopus</w:t>
      </w:r>
      <w:proofErr w:type="spellEnd"/>
      <w:r w:rsidRPr="00501D3E">
        <w:t xml:space="preserve"> y Google Scholar, así como en las páginas oficiales del Ministerio de Sanidad, el Servicio de Salud del Principado de </w:t>
      </w:r>
    </w:p>
    <w:p w14:paraId="43A78280" w14:textId="77777777" w:rsidR="00501D3E" w:rsidRPr="00501D3E" w:rsidRDefault="00501D3E" w:rsidP="00501D3E">
      <w:pPr>
        <w:jc w:val="both"/>
      </w:pPr>
      <w:r w:rsidRPr="00501D3E">
        <w:t>Asturias y la Administración General del Estado. Se utilizaron los términos de búsqueda "administración electrónica", "sanidad", "atención al usuario", "digitalización" y "gestión administrativa sanitaria". Se seleccionaron publicaciones relacionadas con la implantación de herramientas digitales en los servicios administrativos sanitarios y su repercusión sobre la atención al ciudadano.</w:t>
      </w:r>
    </w:p>
    <w:p w14:paraId="0C464A6F" w14:textId="77777777" w:rsidR="00501D3E" w:rsidRPr="00501D3E" w:rsidRDefault="00501D3E" w:rsidP="00501D3E">
      <w:pPr>
        <w:jc w:val="both"/>
        <w:rPr>
          <w:b/>
        </w:rPr>
      </w:pPr>
      <w:r w:rsidRPr="00501D3E">
        <w:rPr>
          <w:b/>
        </w:rPr>
        <w:t>Resultados</w:t>
      </w:r>
    </w:p>
    <w:p w14:paraId="7FA2474E" w14:textId="77777777" w:rsidR="00501D3E" w:rsidRPr="00501D3E" w:rsidRDefault="00501D3E" w:rsidP="00501D3E">
      <w:pPr>
        <w:jc w:val="both"/>
      </w:pPr>
      <w:r w:rsidRPr="00501D3E">
        <w:t>La literatura revisada muestra que la administración electrónica mejora la eficiencia de los procesos administrativos al disminuir los tiempos de gestión y reducir la utilización de documentación en papel. Los sistemas de cita previa, la identificación electrónica y la consulta telemática de trámites han incrementado la accesibilidad para una gran parte de la población, favoreciendo una atención más rápida y organizada.</w:t>
      </w:r>
    </w:p>
    <w:p w14:paraId="0F968A61" w14:textId="77777777" w:rsidR="00501D3E" w:rsidRPr="00501D3E" w:rsidRDefault="00501D3E" w:rsidP="00501D3E">
      <w:pPr>
        <w:jc w:val="both"/>
      </w:pPr>
      <w:r w:rsidRPr="00501D3E">
        <w:t xml:space="preserve">Asimismo, diversos estudios destacan un aumento de la satisfacción de los usuarios debido a la disponibilidad permanente de determinados servicios y a la reducción de desplazamientos innecesarios. No obstante, también se identifican </w:t>
      </w:r>
      <w:r w:rsidRPr="00501D3E">
        <w:lastRenderedPageBreak/>
        <w:t>limitaciones, especialmente entre personas de edad avanzada o con escasas competencias digitales, que continúan requiriendo atención presencial y apoyo por parte del personal administrativo. Igualmente, la necesidad de formación continua de los profesionales y el mantenimiento de elevados estándares de seguridad de la información aparecen como elementos esenciales para garantizar el éxito de la administración electrónica.</w:t>
      </w:r>
    </w:p>
    <w:p w14:paraId="1D475547" w14:textId="77777777" w:rsidR="00501D3E" w:rsidRPr="00501D3E" w:rsidRDefault="00501D3E" w:rsidP="00501D3E">
      <w:pPr>
        <w:jc w:val="both"/>
        <w:rPr>
          <w:b/>
        </w:rPr>
      </w:pPr>
      <w:r w:rsidRPr="00501D3E">
        <w:rPr>
          <w:b/>
        </w:rPr>
        <w:t>Conclusiones</w:t>
      </w:r>
    </w:p>
    <w:p w14:paraId="549F3472" w14:textId="77777777" w:rsidR="00501D3E" w:rsidRPr="00501D3E" w:rsidRDefault="00501D3E" w:rsidP="00501D3E">
      <w:pPr>
        <w:jc w:val="both"/>
      </w:pPr>
      <w:r w:rsidRPr="00501D3E">
        <w:t>La administración electrónica constituye una herramienta clave para mejorar la calidad y la eficiencia de la atención al usuario en los servicios sanitarios. Su implantación favorece la simplificación de los procedimientos administrativos, optimiza la gestión de recursos y facilita el acceso de los ciudadanos a los servicios de salud. Sin embargo, para obtener todos sus beneficios resulta imprescindible mantener canales de atención presencial, reforzar la formación digital tanto de profesionales como de usuarios y garantizar la protección de los datos personales. El auxiliar administrativo continúa desempeñando un papel esencial como facilitador del proceso de transformación digital y como apoyo directo a los ciudadanos.</w:t>
      </w:r>
    </w:p>
    <w:p w14:paraId="7AABE755" w14:textId="77777777" w:rsidR="00501D3E" w:rsidRPr="00501D3E" w:rsidRDefault="00501D3E" w:rsidP="00501D3E">
      <w:pPr>
        <w:jc w:val="both"/>
        <w:rPr>
          <w:b/>
        </w:rPr>
      </w:pPr>
      <w:r w:rsidRPr="00501D3E">
        <w:rPr>
          <w:b/>
        </w:rPr>
        <w:t>Bibliografía</w:t>
      </w:r>
    </w:p>
    <w:p w14:paraId="2FD693A1" w14:textId="77777777" w:rsidR="00501D3E" w:rsidRPr="00501D3E" w:rsidRDefault="00501D3E" w:rsidP="00501D3E">
      <w:pPr>
        <w:numPr>
          <w:ilvl w:val="0"/>
          <w:numId w:val="92"/>
        </w:numPr>
        <w:jc w:val="both"/>
      </w:pPr>
      <w:r w:rsidRPr="00501D3E">
        <w:t>Ley 39/2015, de 1 de octubre, del Procedimiento Administrativo Común de las Administraciones Públicas.</w:t>
      </w:r>
    </w:p>
    <w:p w14:paraId="55EA42C1" w14:textId="77777777" w:rsidR="00501D3E" w:rsidRPr="00501D3E" w:rsidRDefault="00501D3E" w:rsidP="00501D3E">
      <w:pPr>
        <w:numPr>
          <w:ilvl w:val="0"/>
          <w:numId w:val="92"/>
        </w:numPr>
        <w:jc w:val="both"/>
      </w:pPr>
      <w:r w:rsidRPr="00501D3E">
        <w:t>Ley 40/2015, de 1 de octubre, de Régimen Jurídico del Sector Público.</w:t>
      </w:r>
    </w:p>
    <w:p w14:paraId="170FD9F5" w14:textId="77777777" w:rsidR="00501D3E" w:rsidRPr="00501D3E" w:rsidRDefault="00501D3E" w:rsidP="00501D3E">
      <w:pPr>
        <w:numPr>
          <w:ilvl w:val="0"/>
          <w:numId w:val="92"/>
        </w:numPr>
        <w:jc w:val="both"/>
      </w:pPr>
      <w:r w:rsidRPr="00501D3E">
        <w:t>Reglamento (UE) 2016/679 del Parlamento Europeo y del Consejo (Reglamento General de Protección de Datos).</w:t>
      </w:r>
    </w:p>
    <w:p w14:paraId="5629386F" w14:textId="77777777" w:rsidR="00501D3E" w:rsidRPr="00501D3E" w:rsidRDefault="00501D3E" w:rsidP="00501D3E">
      <w:pPr>
        <w:numPr>
          <w:ilvl w:val="0"/>
          <w:numId w:val="92"/>
        </w:numPr>
        <w:jc w:val="both"/>
      </w:pPr>
      <w:r w:rsidRPr="00501D3E">
        <w:t>Ministerio de Sanidad. Estrategia de Salud Digital del Sistema Nacional de Salud. Madrid: Ministerio de Sanidad.</w:t>
      </w:r>
    </w:p>
    <w:p w14:paraId="0666EF84" w14:textId="77777777" w:rsidR="00501D3E" w:rsidRPr="00501D3E" w:rsidRDefault="00501D3E" w:rsidP="00501D3E">
      <w:pPr>
        <w:numPr>
          <w:ilvl w:val="0"/>
          <w:numId w:val="92"/>
        </w:numPr>
        <w:jc w:val="both"/>
      </w:pPr>
      <w:r w:rsidRPr="00501D3E">
        <w:t>Servicio de Salud del Principado de Asturias (SESPA). Documentación institucional sobre transformación digital y administración electrónica.</w:t>
      </w:r>
    </w:p>
    <w:p w14:paraId="04FA3BD8" w14:textId="77777777" w:rsidR="009909D0" w:rsidRDefault="009909D0" w:rsidP="000E46B3">
      <w:pPr>
        <w:jc w:val="both"/>
      </w:pPr>
    </w:p>
    <w:p w14:paraId="40440DAA" w14:textId="77777777" w:rsidR="00501D3E" w:rsidRDefault="00501D3E" w:rsidP="000E46B3">
      <w:pPr>
        <w:jc w:val="both"/>
      </w:pPr>
    </w:p>
    <w:p w14:paraId="0F40BD06" w14:textId="77777777" w:rsidR="00501D3E" w:rsidRDefault="00501D3E" w:rsidP="000E46B3">
      <w:pPr>
        <w:jc w:val="both"/>
      </w:pPr>
    </w:p>
    <w:p w14:paraId="3A91CB11" w14:textId="77777777" w:rsidR="00501D3E" w:rsidRDefault="00501D3E" w:rsidP="000E46B3">
      <w:pPr>
        <w:jc w:val="both"/>
      </w:pPr>
    </w:p>
    <w:p w14:paraId="4E854C17" w14:textId="77777777" w:rsidR="00501D3E" w:rsidRDefault="00501D3E" w:rsidP="000E46B3">
      <w:pPr>
        <w:jc w:val="both"/>
      </w:pPr>
    </w:p>
    <w:p w14:paraId="1D23EDD3" w14:textId="77777777" w:rsidR="00501D3E" w:rsidRDefault="00501D3E" w:rsidP="000E46B3">
      <w:pPr>
        <w:jc w:val="both"/>
      </w:pPr>
    </w:p>
    <w:p w14:paraId="49F5921B" w14:textId="77777777" w:rsidR="00501D3E" w:rsidRDefault="00501D3E" w:rsidP="000E46B3">
      <w:pPr>
        <w:jc w:val="both"/>
      </w:pPr>
    </w:p>
    <w:p w14:paraId="54D920AC" w14:textId="77777777" w:rsidR="00F114D1" w:rsidRPr="00F114D1" w:rsidRDefault="00F114D1" w:rsidP="00F114D1">
      <w:pPr>
        <w:jc w:val="both"/>
      </w:pPr>
      <w:r w:rsidRPr="00F114D1">
        <w:rPr>
          <w:b/>
        </w:rPr>
        <w:lastRenderedPageBreak/>
        <w:t>SENSIBILIZACIÓN Y FORMACIÓN DEL PERSONAL NO SANITARIO FRENTE A LA VIOLENCIA DE GÉNERO</w:t>
      </w:r>
    </w:p>
    <w:p w14:paraId="28C759E0" w14:textId="77777777" w:rsidR="00F114D1" w:rsidRPr="00F114D1" w:rsidRDefault="00F114D1" w:rsidP="00F114D1">
      <w:pPr>
        <w:jc w:val="both"/>
        <w:rPr>
          <w:b/>
        </w:rPr>
      </w:pPr>
      <w:r w:rsidRPr="00F114D1">
        <w:rPr>
          <w:b/>
        </w:rPr>
        <w:t>Introducción</w:t>
      </w:r>
    </w:p>
    <w:p w14:paraId="02CFB5BA" w14:textId="77777777" w:rsidR="00F114D1" w:rsidRPr="00F114D1" w:rsidRDefault="00F114D1" w:rsidP="00F114D1">
      <w:pPr>
        <w:jc w:val="both"/>
      </w:pPr>
      <w:r w:rsidRPr="00F114D1">
        <w:t>La violencia de género constituye un importante problema de salud pública y una vulneración de los derechos humanos, con importantes repercusiones físicas, psicológicas y sociales para las mujeres que la sufren. Los servicios sanitarios desempeñan un papel fundamental en la detección precoz, atención y derivación de las víctimas, siendo necesaria la implicación de todos los profesionales, incluidos aquellos que no desarrollan funciones asistenciales. El personal no sanitario, especialmente el auxiliar administrativo, suele ser el primer contacto de la usuaria con el sistema de salud, por lo que su actuación puede favorecer la identificación de situaciones de riesgo y facilitar el acceso a los recursos disponibles.</w:t>
      </w:r>
    </w:p>
    <w:p w14:paraId="757B61C1" w14:textId="77777777" w:rsidR="00F114D1" w:rsidRPr="00F114D1" w:rsidRDefault="00F114D1" w:rsidP="00F114D1">
      <w:pPr>
        <w:jc w:val="both"/>
      </w:pPr>
      <w:r w:rsidRPr="00F114D1">
        <w:t>La sensibilización y la formación específica permiten mejorar la capacidad para reconocer indicadores de posible violencia de género, ofrecer una atención respetuosa y garantizar la confidencialidad durante todo el proceso. Asimismo, contribuyen a reducir prejuicios y a promover una atención centrada en la persona. El objetivo de este trabajo es revisar la importancia de la sensibilización y la formación del personal no sanitario frente a la violencia de género y su repercusión en la calidad de la atención prestada.</w:t>
      </w:r>
    </w:p>
    <w:p w14:paraId="19622A5F" w14:textId="77777777" w:rsidR="00F114D1" w:rsidRPr="00F114D1" w:rsidRDefault="00F114D1" w:rsidP="00F114D1">
      <w:pPr>
        <w:jc w:val="both"/>
        <w:rPr>
          <w:b/>
        </w:rPr>
      </w:pPr>
      <w:r w:rsidRPr="00F114D1">
        <w:rPr>
          <w:b/>
        </w:rPr>
        <w:t>Material y métodos</w:t>
      </w:r>
    </w:p>
    <w:p w14:paraId="66002F4A" w14:textId="77777777" w:rsidR="00F114D1" w:rsidRPr="00F114D1" w:rsidRDefault="00F114D1" w:rsidP="00F114D1">
      <w:pPr>
        <w:jc w:val="both"/>
      </w:pPr>
      <w:r w:rsidRPr="00F114D1">
        <w:t xml:space="preserve">Se realizó una revisión bibliográfica narrativa de publicaciones científicas y documentos institucionales publicados entre 2018 y 2025. La búsqueda se efectuó en las bases de datos PubMed, </w:t>
      </w:r>
      <w:proofErr w:type="spellStart"/>
      <w:r w:rsidRPr="00F114D1">
        <w:t>Scopus</w:t>
      </w:r>
      <w:proofErr w:type="spellEnd"/>
      <w:r w:rsidRPr="00F114D1">
        <w:t xml:space="preserve"> y Google Scholar mediante los descriptores "violencia de género", "personal no sanitario", "auxiliar administrativo", "formación", "sensibilización" y "atención sanitaria". Además, se consultaron documentos del Ministerio de Sanidad, la Organización Mundial de la Salud (OMS), la </w:t>
      </w:r>
    </w:p>
    <w:p w14:paraId="30230D3D" w14:textId="77777777" w:rsidR="00F114D1" w:rsidRPr="00F114D1" w:rsidRDefault="00F114D1" w:rsidP="00F114D1">
      <w:pPr>
        <w:jc w:val="both"/>
      </w:pPr>
      <w:r w:rsidRPr="00F114D1">
        <w:t>Delegación del Gobierno contra la Violencia de Género y protocolos del Sistema Nacional de Salud relacionados con la actuación frente a la violencia de género. Se incluyeron aquellos documentos que analizaban la participación del personal no asistencial en la atención a las víctimas y las estrategias formativas dirigidas a este colectivo.</w:t>
      </w:r>
    </w:p>
    <w:p w14:paraId="4BBFB174" w14:textId="77777777" w:rsidR="00F114D1" w:rsidRPr="00F114D1" w:rsidRDefault="00F114D1" w:rsidP="00F114D1">
      <w:pPr>
        <w:jc w:val="both"/>
        <w:rPr>
          <w:b/>
        </w:rPr>
      </w:pPr>
      <w:r w:rsidRPr="00F114D1">
        <w:rPr>
          <w:b/>
        </w:rPr>
        <w:t>Resultados</w:t>
      </w:r>
    </w:p>
    <w:p w14:paraId="1407963F" w14:textId="77777777" w:rsidR="00F114D1" w:rsidRPr="00F114D1" w:rsidRDefault="00F114D1" w:rsidP="00F114D1">
      <w:pPr>
        <w:jc w:val="both"/>
      </w:pPr>
      <w:r w:rsidRPr="00F114D1">
        <w:t xml:space="preserve">La evidencia científica indica que la formación específica incrementa el conocimiento del personal no sanitario sobre las características de la violencia de género, los factores de riesgo y los recursos disponibles para la atención de las víctimas. Los programas formativos mejoran la capacidad para identificar posibles </w:t>
      </w:r>
      <w:r w:rsidRPr="00F114D1">
        <w:lastRenderedPageBreak/>
        <w:t>indicadores durante la acogida administrativa, favorecen una comunicación empática y contribuyen a ofrecer una atención respetuosa, libre de prejuicios y adaptada a las necesidades de cada mujer.</w:t>
      </w:r>
    </w:p>
    <w:p w14:paraId="021B9FF8" w14:textId="77777777" w:rsidR="00F114D1" w:rsidRPr="00F114D1" w:rsidRDefault="00F114D1" w:rsidP="00F114D1">
      <w:pPr>
        <w:jc w:val="both"/>
      </w:pPr>
      <w:r w:rsidRPr="00F114D1">
        <w:t>Los estudios revisados destacan que el personal administrativo puede desempeñar un papel relevante garantizando la privacidad durante la atención, respetando la confidencialidad de la información y facilitando el acceso a los circuitos asistenciales establecidos por los protocolos institucionales. Asimismo, la coordinación con los profesionales sanitarios permite agilizar la derivación cuando existen sospechas de violencia de género.</w:t>
      </w:r>
    </w:p>
    <w:p w14:paraId="78D49F98" w14:textId="77777777" w:rsidR="00F114D1" w:rsidRPr="00F114D1" w:rsidRDefault="00F114D1" w:rsidP="00F114D1">
      <w:pPr>
        <w:jc w:val="both"/>
      </w:pPr>
      <w:r w:rsidRPr="00F114D1">
        <w:t>La literatura también señala que las actividades de sensibilización favorecen un mayor compromiso institucional, reducen actitudes estereotipadas y promueven una cultura organizativa basada en la igualdad, el respeto y la no tolerancia frente a cualquier manifestación de violencia contra las mujeres.</w:t>
      </w:r>
    </w:p>
    <w:p w14:paraId="0FFB7466" w14:textId="77777777" w:rsidR="00F114D1" w:rsidRPr="00F114D1" w:rsidRDefault="00F114D1" w:rsidP="00F114D1">
      <w:pPr>
        <w:jc w:val="both"/>
        <w:rPr>
          <w:b/>
        </w:rPr>
      </w:pPr>
      <w:r w:rsidRPr="00F114D1">
        <w:rPr>
          <w:b/>
        </w:rPr>
        <w:t>Conclusiones</w:t>
      </w:r>
    </w:p>
    <w:p w14:paraId="3CAD1FEE" w14:textId="77777777" w:rsidR="00F114D1" w:rsidRPr="00F114D1" w:rsidRDefault="00F114D1" w:rsidP="00F114D1">
      <w:pPr>
        <w:jc w:val="both"/>
      </w:pPr>
      <w:r w:rsidRPr="00F114D1">
        <w:t>La sensibilización y la formación del personal no sanitario constituyen herramientas fundamentales para mejorar la respuesta de los servicios sanitarios frente a la violencia de género. Aunque el diagnóstico y la intervención clínica corresponden a los profesionales sanitarios, el personal administrativo desempeña un papel relevante en la acogida inicial, la protección de la confidencialidad y la facilitación del acceso a los recursos asistenciales.</w:t>
      </w:r>
    </w:p>
    <w:p w14:paraId="58AED41D" w14:textId="77777777" w:rsidR="00F114D1" w:rsidRPr="00F114D1" w:rsidRDefault="00F114D1" w:rsidP="00F114D1">
      <w:pPr>
        <w:jc w:val="both"/>
      </w:pPr>
      <w:r w:rsidRPr="00F114D1">
        <w:t>La implantación de programas formativos periódicos, junto con el conocimiento de los protocolos de actuación y la coordinación entre los diferentes profesionales, contribuye a ofrecer una atención más segura, humanizada y eficaz. Reforzar las competencias del personal no sanitario favorece la detección precoz de situaciones de vulnerabilidad y fortalece el compromiso de las instituciones sanitarias con la prevención y la atención integral de la violencia de género.</w:t>
      </w:r>
    </w:p>
    <w:p w14:paraId="460C3088" w14:textId="77777777" w:rsidR="00F114D1" w:rsidRPr="00F114D1" w:rsidRDefault="00F114D1" w:rsidP="00F114D1">
      <w:pPr>
        <w:jc w:val="both"/>
        <w:rPr>
          <w:b/>
        </w:rPr>
      </w:pPr>
      <w:r w:rsidRPr="00F114D1">
        <w:rPr>
          <w:b/>
        </w:rPr>
        <w:t>Bibliografía</w:t>
      </w:r>
    </w:p>
    <w:p w14:paraId="5CAE9CA2" w14:textId="77777777" w:rsidR="00F114D1" w:rsidRPr="00F114D1" w:rsidRDefault="00F114D1" w:rsidP="00F114D1">
      <w:pPr>
        <w:numPr>
          <w:ilvl w:val="0"/>
          <w:numId w:val="93"/>
        </w:numPr>
        <w:jc w:val="both"/>
      </w:pPr>
      <w:r w:rsidRPr="00F114D1">
        <w:t>Ley Orgánica 1/2004, de 28 de diciembre, de Medidas de Protección Integral contra la Violencia de Género.</w:t>
      </w:r>
    </w:p>
    <w:p w14:paraId="31BBDAC7" w14:textId="77777777" w:rsidR="00F114D1" w:rsidRPr="00F114D1" w:rsidRDefault="00F114D1" w:rsidP="00F114D1">
      <w:pPr>
        <w:numPr>
          <w:ilvl w:val="0"/>
          <w:numId w:val="93"/>
        </w:numPr>
        <w:jc w:val="both"/>
      </w:pPr>
      <w:r w:rsidRPr="00F114D1">
        <w:t xml:space="preserve">Ministerio de Sanidad. </w:t>
      </w:r>
      <w:r w:rsidRPr="00F114D1">
        <w:rPr>
          <w:b/>
        </w:rPr>
        <w:t>Protocolo común para la actuación sanitaria ante la violencia de género</w:t>
      </w:r>
      <w:r w:rsidRPr="00F114D1">
        <w:t>. Madrid: Ministerio de Sanidad.</w:t>
      </w:r>
    </w:p>
    <w:p w14:paraId="0EC4DBAA" w14:textId="77777777" w:rsidR="00F114D1" w:rsidRPr="00F114D1" w:rsidRDefault="00F114D1" w:rsidP="00F114D1">
      <w:pPr>
        <w:numPr>
          <w:ilvl w:val="0"/>
          <w:numId w:val="93"/>
        </w:numPr>
        <w:jc w:val="both"/>
      </w:pPr>
      <w:r w:rsidRPr="00F114D1">
        <w:t xml:space="preserve">Organización Mundial de la Salud. </w:t>
      </w:r>
      <w:r w:rsidRPr="00F114D1">
        <w:rPr>
          <w:b/>
          <w:lang w:val="en-GB"/>
        </w:rPr>
        <w:t>Responding to intimate partner violence and sexual violence against women: WHO clinical and policy guidelines</w:t>
      </w:r>
      <w:r w:rsidRPr="00F114D1">
        <w:rPr>
          <w:lang w:val="en-GB"/>
        </w:rPr>
        <w:t xml:space="preserve">. </w:t>
      </w:r>
      <w:r w:rsidRPr="00F114D1">
        <w:t>Ginebra: OMS.</w:t>
      </w:r>
    </w:p>
    <w:p w14:paraId="312BB44B" w14:textId="77777777" w:rsidR="00F114D1" w:rsidRPr="00F114D1" w:rsidRDefault="00F114D1" w:rsidP="00F114D1">
      <w:pPr>
        <w:numPr>
          <w:ilvl w:val="0"/>
          <w:numId w:val="93"/>
        </w:numPr>
        <w:jc w:val="both"/>
      </w:pPr>
      <w:r w:rsidRPr="00F114D1">
        <w:t xml:space="preserve">Delegación del Gobierno contra la Violencia de Género. </w:t>
      </w:r>
      <w:r w:rsidRPr="00F114D1">
        <w:rPr>
          <w:b/>
        </w:rPr>
        <w:t>Estrategia estatal para combatir las violencias machistas</w:t>
      </w:r>
      <w:r w:rsidRPr="00F114D1">
        <w:t>.</w:t>
      </w:r>
    </w:p>
    <w:p w14:paraId="74B0692D" w14:textId="77777777" w:rsidR="00F114D1" w:rsidRPr="00F114D1" w:rsidRDefault="00F114D1" w:rsidP="00F114D1">
      <w:pPr>
        <w:numPr>
          <w:ilvl w:val="0"/>
          <w:numId w:val="93"/>
        </w:numPr>
        <w:jc w:val="both"/>
      </w:pPr>
      <w:r w:rsidRPr="00F114D1">
        <w:lastRenderedPageBreak/>
        <w:t>Ley 41/2002, de 14 de noviembre, básica reguladora de la autonomía del paciente y de derechos y obligaciones en materia de información y documentación clínica.</w:t>
      </w:r>
    </w:p>
    <w:p w14:paraId="2EBFCB93" w14:textId="77777777" w:rsidR="00F114D1" w:rsidRPr="00F114D1" w:rsidRDefault="00F114D1" w:rsidP="00F114D1">
      <w:pPr>
        <w:numPr>
          <w:ilvl w:val="0"/>
          <w:numId w:val="93"/>
        </w:numPr>
        <w:jc w:val="both"/>
      </w:pPr>
      <w:r w:rsidRPr="00F114D1">
        <w:t xml:space="preserve">Consejo Interterritorial del Sistema Nacional de Salud. </w:t>
      </w:r>
      <w:r w:rsidRPr="00F114D1">
        <w:rPr>
          <w:b/>
        </w:rPr>
        <w:t>Actuaciones del Sistema Nacional de Salud frente a la violencia de género</w:t>
      </w:r>
      <w:r w:rsidRPr="00F114D1">
        <w:t>.</w:t>
      </w:r>
    </w:p>
    <w:p w14:paraId="403F3533" w14:textId="77777777" w:rsidR="00501D3E" w:rsidRDefault="00501D3E" w:rsidP="000E46B3">
      <w:pPr>
        <w:jc w:val="both"/>
      </w:pPr>
    </w:p>
    <w:p w14:paraId="342B5F6B" w14:textId="77777777" w:rsidR="00F114D1" w:rsidRDefault="00F114D1" w:rsidP="000E46B3">
      <w:pPr>
        <w:jc w:val="both"/>
      </w:pPr>
    </w:p>
    <w:p w14:paraId="18B67C10" w14:textId="77777777" w:rsidR="00F114D1" w:rsidRDefault="00F114D1" w:rsidP="000E46B3">
      <w:pPr>
        <w:jc w:val="both"/>
      </w:pPr>
    </w:p>
    <w:p w14:paraId="521799D0" w14:textId="77777777" w:rsidR="00F114D1" w:rsidRDefault="00F114D1" w:rsidP="000E46B3">
      <w:pPr>
        <w:jc w:val="both"/>
      </w:pPr>
    </w:p>
    <w:p w14:paraId="0B7F25A5" w14:textId="77777777" w:rsidR="00F114D1" w:rsidRDefault="00F114D1" w:rsidP="000E46B3">
      <w:pPr>
        <w:jc w:val="both"/>
      </w:pPr>
    </w:p>
    <w:p w14:paraId="05000C72" w14:textId="77777777" w:rsidR="00F114D1" w:rsidRDefault="00F114D1" w:rsidP="000E46B3">
      <w:pPr>
        <w:jc w:val="both"/>
      </w:pPr>
    </w:p>
    <w:p w14:paraId="49D85909" w14:textId="77777777" w:rsidR="00F114D1" w:rsidRDefault="00F114D1" w:rsidP="000E46B3">
      <w:pPr>
        <w:jc w:val="both"/>
      </w:pPr>
    </w:p>
    <w:p w14:paraId="26D166AC" w14:textId="77777777" w:rsidR="00F114D1" w:rsidRDefault="00F114D1" w:rsidP="000E46B3">
      <w:pPr>
        <w:jc w:val="both"/>
      </w:pPr>
    </w:p>
    <w:p w14:paraId="5ED24C42" w14:textId="77777777" w:rsidR="00F114D1" w:rsidRDefault="00F114D1" w:rsidP="000E46B3">
      <w:pPr>
        <w:jc w:val="both"/>
      </w:pPr>
    </w:p>
    <w:p w14:paraId="3B7CFB2F" w14:textId="77777777" w:rsidR="00F114D1" w:rsidRDefault="00F114D1" w:rsidP="000E46B3">
      <w:pPr>
        <w:jc w:val="both"/>
      </w:pPr>
    </w:p>
    <w:p w14:paraId="257B00A1" w14:textId="77777777" w:rsidR="00F114D1" w:rsidRDefault="00F114D1" w:rsidP="000E46B3">
      <w:pPr>
        <w:jc w:val="both"/>
      </w:pPr>
    </w:p>
    <w:p w14:paraId="2E295D5E" w14:textId="77777777" w:rsidR="00F114D1" w:rsidRDefault="00F114D1" w:rsidP="000E46B3">
      <w:pPr>
        <w:jc w:val="both"/>
      </w:pPr>
    </w:p>
    <w:p w14:paraId="1A0F47D5" w14:textId="77777777" w:rsidR="00F114D1" w:rsidRDefault="00F114D1" w:rsidP="000E46B3">
      <w:pPr>
        <w:jc w:val="both"/>
      </w:pPr>
    </w:p>
    <w:p w14:paraId="5279EEA0" w14:textId="77777777" w:rsidR="00F114D1" w:rsidRDefault="00F114D1" w:rsidP="000E46B3">
      <w:pPr>
        <w:jc w:val="both"/>
      </w:pPr>
    </w:p>
    <w:p w14:paraId="45B86D06" w14:textId="77777777" w:rsidR="00F114D1" w:rsidRDefault="00F114D1" w:rsidP="000E46B3">
      <w:pPr>
        <w:jc w:val="both"/>
      </w:pPr>
    </w:p>
    <w:p w14:paraId="3573883A" w14:textId="77777777" w:rsidR="00F114D1" w:rsidRDefault="00F114D1" w:rsidP="000E46B3">
      <w:pPr>
        <w:jc w:val="both"/>
      </w:pPr>
    </w:p>
    <w:p w14:paraId="5EC23025" w14:textId="77777777" w:rsidR="00F114D1" w:rsidRDefault="00F114D1" w:rsidP="000E46B3">
      <w:pPr>
        <w:jc w:val="both"/>
      </w:pPr>
    </w:p>
    <w:p w14:paraId="408C32BE" w14:textId="77777777" w:rsidR="00F114D1" w:rsidRDefault="00F114D1" w:rsidP="000E46B3">
      <w:pPr>
        <w:jc w:val="both"/>
      </w:pPr>
    </w:p>
    <w:p w14:paraId="161B15D3" w14:textId="77777777" w:rsidR="00F114D1" w:rsidRDefault="00F114D1" w:rsidP="000E46B3">
      <w:pPr>
        <w:jc w:val="both"/>
      </w:pPr>
    </w:p>
    <w:p w14:paraId="15D3AB5E" w14:textId="77777777" w:rsidR="00F114D1" w:rsidRDefault="00F114D1" w:rsidP="000E46B3">
      <w:pPr>
        <w:jc w:val="both"/>
      </w:pPr>
    </w:p>
    <w:p w14:paraId="6B1A9450" w14:textId="77777777" w:rsidR="00F114D1" w:rsidRDefault="00F114D1" w:rsidP="000E46B3">
      <w:pPr>
        <w:jc w:val="both"/>
      </w:pPr>
    </w:p>
    <w:p w14:paraId="488845BB" w14:textId="77777777" w:rsidR="00F114D1" w:rsidRDefault="00F114D1" w:rsidP="000E46B3">
      <w:pPr>
        <w:jc w:val="both"/>
      </w:pPr>
    </w:p>
    <w:p w14:paraId="12DEAFAC" w14:textId="77777777" w:rsidR="00F114D1" w:rsidRDefault="00F114D1" w:rsidP="000E46B3">
      <w:pPr>
        <w:jc w:val="both"/>
      </w:pPr>
    </w:p>
    <w:p w14:paraId="7B3C9C38" w14:textId="77777777" w:rsidR="00F114D1" w:rsidRDefault="00F114D1" w:rsidP="000E46B3">
      <w:pPr>
        <w:jc w:val="both"/>
      </w:pPr>
    </w:p>
    <w:p w14:paraId="52C7AE6B" w14:textId="77777777" w:rsidR="00557374" w:rsidRPr="00557374" w:rsidRDefault="00557374" w:rsidP="00557374">
      <w:pPr>
        <w:jc w:val="both"/>
      </w:pPr>
      <w:r w:rsidRPr="00557374">
        <w:rPr>
          <w:b/>
        </w:rPr>
        <w:lastRenderedPageBreak/>
        <w:t>PROTECCIÓN DE DATOS Y CONFIDENCIALIDAD EN LA GESTIÓN ADMINISTRATIVA SANITARIA</w:t>
      </w:r>
    </w:p>
    <w:p w14:paraId="517B12F1" w14:textId="77777777" w:rsidR="00557374" w:rsidRPr="00557374" w:rsidRDefault="00557374" w:rsidP="00557374">
      <w:pPr>
        <w:jc w:val="both"/>
        <w:rPr>
          <w:b/>
        </w:rPr>
      </w:pPr>
      <w:r w:rsidRPr="00557374">
        <w:rPr>
          <w:b/>
        </w:rPr>
        <w:t>Introducción</w:t>
      </w:r>
    </w:p>
    <w:p w14:paraId="799279BE" w14:textId="77777777" w:rsidR="00557374" w:rsidRPr="00557374" w:rsidRDefault="00557374" w:rsidP="00557374">
      <w:pPr>
        <w:jc w:val="both"/>
      </w:pPr>
      <w:r w:rsidRPr="00557374">
        <w:t>La protección de los datos personales y la confidencialidad de la información clínica constituyen pilares fundamentales del sistema sanitario. La progresiva digitalización de los procesos asistenciales y administrativos ha incrementado la disponibilidad de información sanitaria, facilitando la continuidad de la atención, pero también aumentando la responsabilidad de los profesionales que acceden a estos datos. En este contexto, el auxiliar administrativo desempeña un papel esencial, ya que participa diariamente en la gestión de historias clínicas, citaciones, documentación administrativa y datos identificativos de los pacientes.</w:t>
      </w:r>
    </w:p>
    <w:p w14:paraId="03557832" w14:textId="77777777" w:rsidR="00557374" w:rsidRPr="00557374" w:rsidRDefault="00557374" w:rsidP="00557374">
      <w:pPr>
        <w:jc w:val="both"/>
      </w:pPr>
      <w:r w:rsidRPr="00557374">
        <w:t>La normativa vigente establece la obligación de garantizar la privacidad de la información sanitaria, considerada una categoría especial de datos personales por su especial sensibilidad. El incumplimiento de las medidas de confidencialidad puede comprometer los derechos de los pacientes, deteriorar la confianza en el sistema sanitario y generar responsabilidades legales para los profesionales y las instituciones. El objetivo de este trabajo es revisar la importancia de la protección de datos y la confidencialidad en la gestión administrativa sanitaria, así como el papel del auxiliar administrativo en el cumplimiento de la normativa vigente.</w:t>
      </w:r>
    </w:p>
    <w:p w14:paraId="00F0C78C" w14:textId="77777777" w:rsidR="00557374" w:rsidRPr="00557374" w:rsidRDefault="00557374" w:rsidP="00557374">
      <w:pPr>
        <w:jc w:val="both"/>
        <w:rPr>
          <w:b/>
        </w:rPr>
      </w:pPr>
      <w:r w:rsidRPr="00557374">
        <w:rPr>
          <w:b/>
        </w:rPr>
        <w:t>Material y métodos</w:t>
      </w:r>
    </w:p>
    <w:p w14:paraId="3023EDDF" w14:textId="77777777" w:rsidR="00557374" w:rsidRPr="00557374" w:rsidRDefault="00557374" w:rsidP="00557374">
      <w:pPr>
        <w:jc w:val="both"/>
      </w:pPr>
      <w:r w:rsidRPr="00557374">
        <w:t xml:space="preserve">Se realizó una revisión bibliográfica narrativa de publicaciones científicas y documentos normativos publicados entre 2018 y 2025. La búsqueda se llevó a cabo en las bases de datos </w:t>
      </w:r>
    </w:p>
    <w:p w14:paraId="6D695DB3" w14:textId="77777777" w:rsidR="00557374" w:rsidRPr="00557374" w:rsidRDefault="00557374" w:rsidP="00557374">
      <w:pPr>
        <w:jc w:val="both"/>
      </w:pPr>
      <w:r w:rsidRPr="00557374">
        <w:t xml:space="preserve">PubMed, </w:t>
      </w:r>
      <w:proofErr w:type="spellStart"/>
      <w:r w:rsidRPr="00557374">
        <w:t>Scopus</w:t>
      </w:r>
      <w:proofErr w:type="spellEnd"/>
      <w:r w:rsidRPr="00557374">
        <w:t xml:space="preserve"> y Google Scholar, utilizando los términos "protección de datos", </w:t>
      </w:r>
    </w:p>
    <w:p w14:paraId="7E3C91A0" w14:textId="77777777" w:rsidR="00557374" w:rsidRPr="00557374" w:rsidRDefault="00557374" w:rsidP="00557374">
      <w:pPr>
        <w:jc w:val="both"/>
      </w:pPr>
      <w:r w:rsidRPr="00557374">
        <w:t xml:space="preserve">"confidencialidad", "gestión administrativa sanitaria", "historia clínica" y "auxiliar administrativo". </w:t>
      </w:r>
    </w:p>
    <w:p w14:paraId="74AB9771" w14:textId="77777777" w:rsidR="00557374" w:rsidRPr="00557374" w:rsidRDefault="00557374" w:rsidP="00557374">
      <w:pPr>
        <w:jc w:val="both"/>
      </w:pPr>
      <w:r w:rsidRPr="00557374">
        <w:t xml:space="preserve">Asimismo, se consultó la legislación española y europea aplicable, incluyendo el Reglamento </w:t>
      </w:r>
    </w:p>
    <w:p w14:paraId="75DDAEAD" w14:textId="77777777" w:rsidR="00557374" w:rsidRPr="00557374" w:rsidRDefault="00557374" w:rsidP="00557374">
      <w:pPr>
        <w:jc w:val="both"/>
      </w:pPr>
      <w:r w:rsidRPr="00557374">
        <w:t>General de Protección de Datos (RGPD), la Ley Orgánica 3/2018 de Protección de Datos Personales y Garantía de los Derechos Digitales y la Ley 41/2002, básica reguladora de la autonomía del paciente. Se seleccionaron los documentos que abordaban la protección de la información sanitaria desde la perspectiva administrativa.</w:t>
      </w:r>
    </w:p>
    <w:p w14:paraId="548320F3" w14:textId="77777777" w:rsidR="00557374" w:rsidRPr="00557374" w:rsidRDefault="00557374" w:rsidP="00557374">
      <w:pPr>
        <w:jc w:val="both"/>
        <w:rPr>
          <w:b/>
        </w:rPr>
      </w:pPr>
      <w:r w:rsidRPr="00557374">
        <w:rPr>
          <w:b/>
        </w:rPr>
        <w:t>Resultados</w:t>
      </w:r>
    </w:p>
    <w:p w14:paraId="4593FF17" w14:textId="77777777" w:rsidR="00557374" w:rsidRPr="00557374" w:rsidRDefault="00557374" w:rsidP="00557374">
      <w:pPr>
        <w:jc w:val="both"/>
      </w:pPr>
      <w:r w:rsidRPr="00557374">
        <w:t xml:space="preserve">La evidencia revisada indica que el auxiliar administrativo accede habitualmente a información identificativa y administrativa de los pacientes, siendo imprescindible </w:t>
      </w:r>
      <w:r w:rsidRPr="00557374">
        <w:lastRenderedPageBreak/>
        <w:t>limitar dicho acceso exclusivamente a las funciones propias del puesto. La implantación de la historia clínica electrónica ha mejorado la disponibilidad de la información y la coordinación entre profesionales, pero también ha incrementado la necesidad de aplicar medidas de seguridad como la autenticación mediante credenciales personales, el control de accesos, la trazabilidad de las consultas realizadas y la actualización periódica de los sistemas informáticos.</w:t>
      </w:r>
    </w:p>
    <w:p w14:paraId="59ADF603" w14:textId="77777777" w:rsidR="00557374" w:rsidRPr="00557374" w:rsidRDefault="00557374" w:rsidP="00557374">
      <w:pPr>
        <w:jc w:val="both"/>
      </w:pPr>
      <w:r w:rsidRPr="00557374">
        <w:t>Los estudios revisados destacan que la formación continua en protección de datos reduce la aparición de incidencias relacionadas con accesos indebidos, errores en el envío de documentación o divulgación accidental de información confidencial. Asimismo, se identifican como buenas prácticas la verificación de la identidad del usuario antes de facilitar información, el mantenimiento de la confidencialidad durante la atención presencial y telefónica, y la adecuada custodia de la documentación en soporte físico y electrónico.</w:t>
      </w:r>
    </w:p>
    <w:p w14:paraId="01C3B712" w14:textId="77777777" w:rsidR="00557374" w:rsidRPr="00557374" w:rsidRDefault="00557374" w:rsidP="00557374">
      <w:pPr>
        <w:jc w:val="both"/>
      </w:pPr>
      <w:r w:rsidRPr="00557374">
        <w:t>La literatura coincide en que la cultura de seguridad de la información debe formar parte de la actividad diaria de todos los profesionales, siendo el auxiliar administrativo una pieza clave para garantizar el cumplimiento de la normativa y la protección de los derechos del paciente.</w:t>
      </w:r>
    </w:p>
    <w:p w14:paraId="4C52E92E" w14:textId="77777777" w:rsidR="00557374" w:rsidRPr="00557374" w:rsidRDefault="00557374" w:rsidP="00557374">
      <w:pPr>
        <w:jc w:val="both"/>
        <w:rPr>
          <w:b/>
        </w:rPr>
      </w:pPr>
      <w:r w:rsidRPr="00557374">
        <w:rPr>
          <w:b/>
        </w:rPr>
        <w:t>Conclusiones</w:t>
      </w:r>
    </w:p>
    <w:p w14:paraId="23C87A08" w14:textId="77777777" w:rsidR="00557374" w:rsidRPr="00557374" w:rsidRDefault="00557374" w:rsidP="00557374">
      <w:pPr>
        <w:jc w:val="both"/>
      </w:pPr>
      <w:r w:rsidRPr="00557374">
        <w:t>La protección de datos y la confidencialidad representan elementos esenciales para garantizar una atención sanitaria segura, ética y de calidad. El auxiliar administrativo desempeña un papel fundamental en la gestión responsable de la información sanitaria, contribuyendo al cumplimiento de la normativa vigente y a la preservación de la confianza de los ciudadanos en el sistema sanitario.</w:t>
      </w:r>
    </w:p>
    <w:p w14:paraId="5CFE5A19" w14:textId="77777777" w:rsidR="00557374" w:rsidRPr="00557374" w:rsidRDefault="00557374" w:rsidP="00557374">
      <w:pPr>
        <w:jc w:val="both"/>
      </w:pPr>
      <w:r w:rsidRPr="00557374">
        <w:t>La formación continuada, el uso adecuado de las herramientas informáticas, la aplicación de protocolos de seguridad y el acceso limitado a la información según las funciones desempeñadas constituyen medidas imprescindibles para prevenir incidencias relacionadas con la privacidad. La consolidación de una cultura organizativa orientada a la protección de datos favorece tanto la seguridad jurídica de las instituciones como la calidad de la atención prestada a los pacientes.</w:t>
      </w:r>
    </w:p>
    <w:p w14:paraId="24D35F14" w14:textId="77777777" w:rsidR="00557374" w:rsidRPr="00557374" w:rsidRDefault="00557374" w:rsidP="00557374">
      <w:pPr>
        <w:jc w:val="both"/>
        <w:rPr>
          <w:b/>
        </w:rPr>
      </w:pPr>
      <w:r w:rsidRPr="00557374">
        <w:rPr>
          <w:b/>
        </w:rPr>
        <w:t>Bibliografía</w:t>
      </w:r>
    </w:p>
    <w:p w14:paraId="5BF34E9E" w14:textId="77777777" w:rsidR="00557374" w:rsidRPr="00557374" w:rsidRDefault="00557374" w:rsidP="00557374">
      <w:pPr>
        <w:numPr>
          <w:ilvl w:val="0"/>
          <w:numId w:val="94"/>
        </w:numPr>
        <w:jc w:val="both"/>
      </w:pPr>
      <w:r w:rsidRPr="00557374">
        <w:t>Reglamento (UE) 2016/679 del Parlamento Europeo y del Consejo, de 27 de abril de 2016, relativo a la protección de las personas físicas en lo que respecta al tratamiento de datos personales (RGPD).</w:t>
      </w:r>
    </w:p>
    <w:p w14:paraId="201BE0C3" w14:textId="77777777" w:rsidR="00557374" w:rsidRPr="00557374" w:rsidRDefault="00557374" w:rsidP="00557374">
      <w:pPr>
        <w:numPr>
          <w:ilvl w:val="0"/>
          <w:numId w:val="94"/>
        </w:numPr>
        <w:jc w:val="both"/>
      </w:pPr>
      <w:r w:rsidRPr="00557374">
        <w:t>Ley Orgánica 3/2018, de 5 de diciembre, de Protección de Datos Personales y garantía de los derechos digitales.</w:t>
      </w:r>
    </w:p>
    <w:p w14:paraId="688A58C0" w14:textId="77777777" w:rsidR="00557374" w:rsidRPr="00557374" w:rsidRDefault="00557374" w:rsidP="00557374">
      <w:pPr>
        <w:numPr>
          <w:ilvl w:val="0"/>
          <w:numId w:val="94"/>
        </w:numPr>
        <w:jc w:val="both"/>
      </w:pPr>
      <w:r w:rsidRPr="00557374">
        <w:lastRenderedPageBreak/>
        <w:t>Ley 41/2002, de 14 de noviembre, básica reguladora de la autonomía del paciente y de derechos y obligaciones en materia de información y documentación clínica.</w:t>
      </w:r>
    </w:p>
    <w:p w14:paraId="1E7BBBA2" w14:textId="77777777" w:rsidR="00557374" w:rsidRPr="00557374" w:rsidRDefault="00557374" w:rsidP="00557374">
      <w:pPr>
        <w:numPr>
          <w:ilvl w:val="0"/>
          <w:numId w:val="94"/>
        </w:numPr>
        <w:jc w:val="both"/>
      </w:pPr>
      <w:r w:rsidRPr="00557374">
        <w:t>Ley 39/2015, de 1 de octubre, del Procedimiento Administrativo Común de las Administraciones Públicas.</w:t>
      </w:r>
    </w:p>
    <w:p w14:paraId="0BD9EF53" w14:textId="77777777" w:rsidR="00557374" w:rsidRPr="00557374" w:rsidRDefault="00557374" w:rsidP="00557374">
      <w:pPr>
        <w:numPr>
          <w:ilvl w:val="0"/>
          <w:numId w:val="94"/>
        </w:numPr>
        <w:jc w:val="both"/>
      </w:pPr>
      <w:r w:rsidRPr="00557374">
        <w:t>Ministerio de Sanidad. Estrategia de Salud Digital del Sistema Nacional de Salud. Madrid: Ministerio de Sanidad.</w:t>
      </w:r>
    </w:p>
    <w:p w14:paraId="42BF02D7" w14:textId="77777777" w:rsidR="00557374" w:rsidRPr="00557374" w:rsidRDefault="00557374" w:rsidP="00557374">
      <w:pPr>
        <w:numPr>
          <w:ilvl w:val="0"/>
          <w:numId w:val="94"/>
        </w:numPr>
        <w:jc w:val="both"/>
      </w:pPr>
      <w:r w:rsidRPr="00557374">
        <w:t>Agencia Española de Protección de Datos. Guía para pacientes y usuarios de la sanidad sobre protección de datos personales.</w:t>
      </w:r>
    </w:p>
    <w:p w14:paraId="1C8FA2C6" w14:textId="77777777" w:rsidR="00F114D1" w:rsidRDefault="00F114D1" w:rsidP="000E46B3">
      <w:pPr>
        <w:jc w:val="both"/>
      </w:pPr>
    </w:p>
    <w:p w14:paraId="2B7AF417" w14:textId="77777777" w:rsidR="00557374" w:rsidRDefault="00557374" w:rsidP="000E46B3">
      <w:pPr>
        <w:jc w:val="both"/>
      </w:pPr>
    </w:p>
    <w:p w14:paraId="4F773109" w14:textId="77777777" w:rsidR="00557374" w:rsidRDefault="00557374" w:rsidP="000E46B3">
      <w:pPr>
        <w:jc w:val="both"/>
      </w:pPr>
    </w:p>
    <w:p w14:paraId="7F23519B" w14:textId="77777777" w:rsidR="00557374" w:rsidRDefault="00557374" w:rsidP="000E46B3">
      <w:pPr>
        <w:jc w:val="both"/>
      </w:pPr>
    </w:p>
    <w:p w14:paraId="2B8448E3" w14:textId="77777777" w:rsidR="00557374" w:rsidRDefault="00557374" w:rsidP="000E46B3">
      <w:pPr>
        <w:jc w:val="both"/>
      </w:pPr>
    </w:p>
    <w:p w14:paraId="7C654C83" w14:textId="77777777" w:rsidR="00557374" w:rsidRDefault="00557374" w:rsidP="000E46B3">
      <w:pPr>
        <w:jc w:val="both"/>
      </w:pPr>
    </w:p>
    <w:p w14:paraId="7711C098" w14:textId="77777777" w:rsidR="00557374" w:rsidRDefault="00557374" w:rsidP="000E46B3">
      <w:pPr>
        <w:jc w:val="both"/>
      </w:pPr>
    </w:p>
    <w:p w14:paraId="1F3921D7" w14:textId="77777777" w:rsidR="00557374" w:rsidRDefault="00557374" w:rsidP="000E46B3">
      <w:pPr>
        <w:jc w:val="both"/>
      </w:pPr>
    </w:p>
    <w:p w14:paraId="7A8AB460" w14:textId="77777777" w:rsidR="00557374" w:rsidRDefault="00557374" w:rsidP="000E46B3">
      <w:pPr>
        <w:jc w:val="both"/>
      </w:pPr>
    </w:p>
    <w:p w14:paraId="7035085A" w14:textId="77777777" w:rsidR="00557374" w:rsidRDefault="00557374" w:rsidP="000E46B3">
      <w:pPr>
        <w:jc w:val="both"/>
      </w:pPr>
    </w:p>
    <w:p w14:paraId="19D8C7DB" w14:textId="77777777" w:rsidR="00557374" w:rsidRDefault="00557374" w:rsidP="000E46B3">
      <w:pPr>
        <w:jc w:val="both"/>
      </w:pPr>
    </w:p>
    <w:p w14:paraId="0BC25774" w14:textId="77777777" w:rsidR="00557374" w:rsidRDefault="00557374" w:rsidP="000E46B3">
      <w:pPr>
        <w:jc w:val="both"/>
      </w:pPr>
    </w:p>
    <w:p w14:paraId="0B82C941" w14:textId="77777777" w:rsidR="00557374" w:rsidRDefault="00557374" w:rsidP="000E46B3">
      <w:pPr>
        <w:jc w:val="both"/>
      </w:pPr>
    </w:p>
    <w:p w14:paraId="56F537CF" w14:textId="77777777" w:rsidR="00557374" w:rsidRDefault="00557374" w:rsidP="000E46B3">
      <w:pPr>
        <w:jc w:val="both"/>
      </w:pPr>
    </w:p>
    <w:p w14:paraId="591E4211" w14:textId="77777777" w:rsidR="00557374" w:rsidRDefault="00557374" w:rsidP="000E46B3">
      <w:pPr>
        <w:jc w:val="both"/>
      </w:pPr>
    </w:p>
    <w:p w14:paraId="4875D1E8" w14:textId="77777777" w:rsidR="00557374" w:rsidRDefault="00557374" w:rsidP="000E46B3">
      <w:pPr>
        <w:jc w:val="both"/>
      </w:pPr>
    </w:p>
    <w:p w14:paraId="5BDF3316" w14:textId="77777777" w:rsidR="00557374" w:rsidRDefault="00557374" w:rsidP="000E46B3">
      <w:pPr>
        <w:jc w:val="both"/>
      </w:pPr>
    </w:p>
    <w:p w14:paraId="51060FAA" w14:textId="77777777" w:rsidR="00557374" w:rsidRDefault="00557374" w:rsidP="000E46B3">
      <w:pPr>
        <w:jc w:val="both"/>
      </w:pPr>
    </w:p>
    <w:p w14:paraId="73BD44A5" w14:textId="77777777" w:rsidR="00557374" w:rsidRDefault="00557374" w:rsidP="000E46B3">
      <w:pPr>
        <w:jc w:val="both"/>
      </w:pPr>
    </w:p>
    <w:p w14:paraId="63ED0455" w14:textId="77777777" w:rsidR="00557374" w:rsidRDefault="00557374" w:rsidP="000E46B3">
      <w:pPr>
        <w:jc w:val="both"/>
      </w:pPr>
    </w:p>
    <w:p w14:paraId="2CB5A72A" w14:textId="77777777" w:rsidR="00557374" w:rsidRDefault="00557374" w:rsidP="000E46B3">
      <w:pPr>
        <w:jc w:val="both"/>
      </w:pPr>
    </w:p>
    <w:p w14:paraId="5A2FFE2D" w14:textId="77777777" w:rsidR="00226AFD" w:rsidRPr="00226AFD" w:rsidRDefault="00226AFD" w:rsidP="00226AFD">
      <w:pPr>
        <w:jc w:val="both"/>
        <w:rPr>
          <w:b/>
          <w:bCs/>
        </w:rPr>
      </w:pPr>
      <w:r w:rsidRPr="00226AFD">
        <w:rPr>
          <w:b/>
          <w:bCs/>
        </w:rPr>
        <w:lastRenderedPageBreak/>
        <w:t>Prevención de las úlceras por presión: papel del Técnico en Cuidados Auxiliares de Enfermería en la seguridad del paciente</w:t>
      </w:r>
    </w:p>
    <w:p w14:paraId="7E36DB43" w14:textId="77777777" w:rsidR="00226AFD" w:rsidRPr="00226AFD" w:rsidRDefault="00226AFD" w:rsidP="00226AFD">
      <w:pPr>
        <w:jc w:val="both"/>
      </w:pPr>
      <w:r w:rsidRPr="00226AFD">
        <w:t>Resumen</w:t>
      </w:r>
    </w:p>
    <w:p w14:paraId="19868E28" w14:textId="77777777" w:rsidR="00226AFD" w:rsidRPr="00226AFD" w:rsidRDefault="00226AFD" w:rsidP="00226AFD">
      <w:pPr>
        <w:jc w:val="both"/>
      </w:pPr>
      <w:r w:rsidRPr="00226AFD">
        <w:t>Las úlceras por presión (UPP) constituyen uno de los eventos adversos más frecuentes en pacientes con movilidad reducida, especialmente en personas mayores, pacientes hospitalizados y usuarios de centros sociosanitarios. Su aparición incrementa la estancia hospitalaria, los costes sanitarios y el riesgo de complicaciones como infecciones o dolor crónico. El Técnico en Cuidados Auxiliares de Enfermería (TCAE) desempeña un papel fundamental en la prevención de estas lesiones mediante la aplicación de cuidados básicos, la observación continua del estado de la piel, la movilización del paciente y la colaboración con el equipo de enfermería. El presente trabajo tiene como objetivo revisar la evidencia científica sobre las principales medidas preventivas y analizar la contribución del TCAE en la disminución de la incidencia de las úlceras por presión. Se realizó una revisión bibliográfica de publicaciones científicas y documentos institucionales publicados en los últimos años. Los resultados muestran que la implementación de protocolos preventivos y la actuación coordinada del equipo sanitario reducen significativamente la aparición de estas lesiones. Se concluye que la formación continua del TCAE y la aplicación sistemática de medidas preventivas mejoran la calidad asistencial y la seguridad del paciente.</w:t>
      </w:r>
    </w:p>
    <w:p w14:paraId="5A084EE6" w14:textId="77777777" w:rsidR="00226AFD" w:rsidRPr="00226AFD" w:rsidRDefault="00226AFD" w:rsidP="00226AFD">
      <w:pPr>
        <w:jc w:val="both"/>
      </w:pPr>
      <w:r w:rsidRPr="00226AFD">
        <w:t>Palabras clave</w:t>
      </w:r>
    </w:p>
    <w:p w14:paraId="0BC7BA81" w14:textId="77777777" w:rsidR="00226AFD" w:rsidRPr="00226AFD" w:rsidRDefault="00226AFD" w:rsidP="00226AFD">
      <w:pPr>
        <w:jc w:val="both"/>
      </w:pPr>
      <w:r w:rsidRPr="00226AFD">
        <w:t>TCAE; úlceras por presión; prevención; cuidados auxiliares; seguridad del paciente; movilización.</w:t>
      </w:r>
    </w:p>
    <w:p w14:paraId="084A9E64" w14:textId="77777777" w:rsidR="00226AFD" w:rsidRPr="00226AFD" w:rsidRDefault="00226AFD" w:rsidP="00226AFD">
      <w:pPr>
        <w:jc w:val="both"/>
      </w:pPr>
      <w:r w:rsidRPr="00226AFD">
        <w:t>Introducción</w:t>
      </w:r>
    </w:p>
    <w:p w14:paraId="31AB064B" w14:textId="77777777" w:rsidR="00226AFD" w:rsidRPr="00226AFD" w:rsidRDefault="00226AFD" w:rsidP="00226AFD">
      <w:pPr>
        <w:jc w:val="both"/>
      </w:pPr>
      <w:r w:rsidRPr="00226AFD">
        <w:t>Las úlceras por presión representan un importante problema de salud pública debido a su elevada prevalencia y al impacto que generan sobre la calidad de vida de los pacientes. Se definen como lesiones localizadas de la piel y de los tejidos subyacentes producidas, generalmente, por la presión prolongada o por la combinación de presión y cizallamiento sobre prominencias óseas.</w:t>
      </w:r>
    </w:p>
    <w:p w14:paraId="091D4C48" w14:textId="77777777" w:rsidR="00226AFD" w:rsidRPr="00226AFD" w:rsidRDefault="00226AFD" w:rsidP="00226AFD">
      <w:pPr>
        <w:jc w:val="both"/>
      </w:pPr>
      <w:r w:rsidRPr="00226AFD">
        <w:t>Diversos estudios indican que la mayoría de las úlceras por presión pueden prevenirse mediante la aplicación de cuidados adecuados. En este contexto, el Técnico en Cuidados Auxiliares de Enfermería desempeña un papel esencial al participar directamente en la higiene del paciente, la movilización, los cambios posturales, la vigilancia del estado cutáneo y la comunicación de cualquier alteración observada al personal de enfermería.</w:t>
      </w:r>
    </w:p>
    <w:p w14:paraId="44042240" w14:textId="77777777" w:rsidR="00226AFD" w:rsidRPr="00226AFD" w:rsidRDefault="00226AFD" w:rsidP="00226AFD">
      <w:pPr>
        <w:jc w:val="both"/>
      </w:pPr>
      <w:r w:rsidRPr="00226AFD">
        <w:t xml:space="preserve">La prevención de las UPP forma parte de los programas de seguridad del paciente impulsados por los sistemas sanitarios nacionales e internacionales. La aplicación </w:t>
      </w:r>
      <w:r w:rsidRPr="00226AFD">
        <w:lastRenderedPageBreak/>
        <w:t>de protocolos basados en la evidencia científica permite disminuir la incidencia de estas lesiones, reducir complicaciones y optimizar los recursos sanitarios.</w:t>
      </w:r>
    </w:p>
    <w:p w14:paraId="6DA2BEA6" w14:textId="77777777" w:rsidR="00226AFD" w:rsidRPr="00226AFD" w:rsidRDefault="00226AFD" w:rsidP="00226AFD">
      <w:pPr>
        <w:jc w:val="both"/>
      </w:pPr>
      <w:r w:rsidRPr="00226AFD">
        <w:t>El objetivo de este trabajo es analizar la evidencia científica disponible sobre la prevención de las úlceras por presión y destacar la importancia del TCAE dentro del equipo multidisciplinar.</w:t>
      </w:r>
    </w:p>
    <w:p w14:paraId="1778D880" w14:textId="77777777" w:rsidR="00226AFD" w:rsidRPr="00226AFD" w:rsidRDefault="00226AFD" w:rsidP="00226AFD">
      <w:pPr>
        <w:jc w:val="both"/>
      </w:pPr>
      <w:r w:rsidRPr="00226AFD">
        <w:t>Metodología</w:t>
      </w:r>
    </w:p>
    <w:p w14:paraId="12165316" w14:textId="77777777" w:rsidR="00226AFD" w:rsidRPr="00226AFD" w:rsidRDefault="00226AFD" w:rsidP="00226AFD">
      <w:pPr>
        <w:jc w:val="both"/>
      </w:pPr>
      <w:r w:rsidRPr="00226AFD">
        <w:t>Se realizó una revisión bibliográfica narrativa utilizando literatura científica publicada en bases de datos biomédicas como PubMed, SciELO y Google Académico, así como documentos técnicos elaborados por organismos oficiales relacionados con la prevención de úlceras por presión.</w:t>
      </w:r>
    </w:p>
    <w:p w14:paraId="7D7E2963" w14:textId="77777777" w:rsidR="00226AFD" w:rsidRPr="00226AFD" w:rsidRDefault="00226AFD" w:rsidP="00226AFD">
      <w:pPr>
        <w:jc w:val="both"/>
      </w:pPr>
      <w:r w:rsidRPr="00226AFD">
        <w:t>Se seleccionaron artículos publicados preferentemente entre 2019 y 2025, escritos en español e inglés, relacionados con la prevención de las úlceras por presión, la seguridad del paciente y las funciones del TCAE.</w:t>
      </w:r>
    </w:p>
    <w:p w14:paraId="6C06B638" w14:textId="77777777" w:rsidR="00226AFD" w:rsidRPr="00226AFD" w:rsidRDefault="00226AFD" w:rsidP="00226AFD">
      <w:pPr>
        <w:jc w:val="both"/>
      </w:pPr>
      <w:r w:rsidRPr="00226AFD">
        <w:t>Los criterios de inclusión fueron estudios de revisión, guías clínicas, recomendaciones internacionales y documentos de consenso. Se excluyeron publicaciones duplicadas y estudios cuyo contenido no estuviera relacionado con la práctica asistencial del TCAE.</w:t>
      </w:r>
    </w:p>
    <w:p w14:paraId="58897AE7" w14:textId="77777777" w:rsidR="00226AFD" w:rsidRPr="00226AFD" w:rsidRDefault="00226AFD" w:rsidP="00226AFD">
      <w:pPr>
        <w:jc w:val="both"/>
      </w:pPr>
      <w:r w:rsidRPr="00226AFD">
        <w:t>La información recopilada fue organizada en función de las principales intervenciones preventivas y del papel desempeñado por el personal auxiliar de enfermería.</w:t>
      </w:r>
    </w:p>
    <w:p w14:paraId="2D3CD3CD" w14:textId="77777777" w:rsidR="00226AFD" w:rsidRPr="00226AFD" w:rsidRDefault="00226AFD" w:rsidP="00226AFD">
      <w:pPr>
        <w:jc w:val="both"/>
      </w:pPr>
      <w:r w:rsidRPr="00226AFD">
        <w:t>Resultados</w:t>
      </w:r>
    </w:p>
    <w:p w14:paraId="119617D2" w14:textId="77777777" w:rsidR="00226AFD" w:rsidRPr="00226AFD" w:rsidRDefault="00226AFD" w:rsidP="00226AFD">
      <w:pPr>
        <w:jc w:val="both"/>
      </w:pPr>
      <w:r w:rsidRPr="00226AFD">
        <w:t>La revisión bibliográfica evidencia que más del 90 % de las úlceras por presión pueden prevenirse mediante la aplicación sistemática de medidas preventivas.</w:t>
      </w:r>
    </w:p>
    <w:p w14:paraId="461C9D8B" w14:textId="77777777" w:rsidR="00226AFD" w:rsidRPr="00226AFD" w:rsidRDefault="00226AFD" w:rsidP="00226AFD">
      <w:pPr>
        <w:jc w:val="both"/>
      </w:pPr>
      <w:r w:rsidRPr="00226AFD">
        <w:t>Las principales intervenciones identificadas fueron:</w:t>
      </w:r>
    </w:p>
    <w:p w14:paraId="52D4B78F" w14:textId="77777777" w:rsidR="00226AFD" w:rsidRPr="00226AFD" w:rsidRDefault="00226AFD" w:rsidP="00226AFD">
      <w:pPr>
        <w:jc w:val="both"/>
      </w:pPr>
      <w:r w:rsidRPr="00226AFD">
        <w:t>•</w:t>
      </w:r>
      <w:r w:rsidRPr="00226AFD">
        <w:tab/>
        <w:t>Valoración periódica del riesgo mediante escalas como la de Braden.</w:t>
      </w:r>
    </w:p>
    <w:p w14:paraId="4592CF87" w14:textId="77777777" w:rsidR="00226AFD" w:rsidRPr="00226AFD" w:rsidRDefault="00226AFD" w:rsidP="00226AFD">
      <w:pPr>
        <w:jc w:val="both"/>
      </w:pPr>
      <w:r w:rsidRPr="00226AFD">
        <w:t>•</w:t>
      </w:r>
      <w:r w:rsidRPr="00226AFD">
        <w:tab/>
        <w:t>Inspección diaria de la piel, especialmente en prominencias óseas.</w:t>
      </w:r>
    </w:p>
    <w:p w14:paraId="2C303B12" w14:textId="77777777" w:rsidR="00226AFD" w:rsidRPr="00226AFD" w:rsidRDefault="00226AFD" w:rsidP="00226AFD">
      <w:pPr>
        <w:jc w:val="both"/>
      </w:pPr>
      <w:r w:rsidRPr="00226AFD">
        <w:t>•</w:t>
      </w:r>
      <w:r w:rsidRPr="00226AFD">
        <w:tab/>
        <w:t>Cambios posturales cada dos o tres horas en pacientes inmovilizados.</w:t>
      </w:r>
    </w:p>
    <w:p w14:paraId="5156F0E3" w14:textId="77777777" w:rsidR="00226AFD" w:rsidRPr="00226AFD" w:rsidRDefault="00226AFD" w:rsidP="00226AFD">
      <w:pPr>
        <w:jc w:val="both"/>
      </w:pPr>
      <w:r w:rsidRPr="00226AFD">
        <w:t>•</w:t>
      </w:r>
      <w:r w:rsidRPr="00226AFD">
        <w:tab/>
        <w:t xml:space="preserve">Utilización de superficies especiales para el manejo de la presión (colchones y cojines </w:t>
      </w:r>
      <w:proofErr w:type="spellStart"/>
      <w:r w:rsidRPr="00226AFD">
        <w:t>antiescaras</w:t>
      </w:r>
      <w:proofErr w:type="spellEnd"/>
      <w:r w:rsidRPr="00226AFD">
        <w:t>).</w:t>
      </w:r>
    </w:p>
    <w:p w14:paraId="0F641C05" w14:textId="77777777" w:rsidR="00226AFD" w:rsidRPr="00226AFD" w:rsidRDefault="00226AFD" w:rsidP="00226AFD">
      <w:pPr>
        <w:jc w:val="both"/>
      </w:pPr>
      <w:r w:rsidRPr="00226AFD">
        <w:t>•</w:t>
      </w:r>
      <w:r w:rsidRPr="00226AFD">
        <w:tab/>
        <w:t>Mantenimiento de una adecuada higiene corporal.</w:t>
      </w:r>
    </w:p>
    <w:p w14:paraId="0E93A058" w14:textId="77777777" w:rsidR="00226AFD" w:rsidRPr="00226AFD" w:rsidRDefault="00226AFD" w:rsidP="00226AFD">
      <w:pPr>
        <w:jc w:val="both"/>
      </w:pPr>
      <w:r w:rsidRPr="00226AFD">
        <w:t>•</w:t>
      </w:r>
      <w:r w:rsidRPr="00226AFD">
        <w:tab/>
        <w:t>Hidratación de la piel con productos específicos.</w:t>
      </w:r>
    </w:p>
    <w:p w14:paraId="507B101B" w14:textId="77777777" w:rsidR="00226AFD" w:rsidRPr="00226AFD" w:rsidRDefault="00226AFD" w:rsidP="00226AFD">
      <w:pPr>
        <w:jc w:val="both"/>
      </w:pPr>
      <w:r w:rsidRPr="00226AFD">
        <w:t>•</w:t>
      </w:r>
      <w:r w:rsidRPr="00226AFD">
        <w:tab/>
        <w:t>Control de la humedad producida por la incontinencia.</w:t>
      </w:r>
    </w:p>
    <w:p w14:paraId="1C25C83B" w14:textId="77777777" w:rsidR="00226AFD" w:rsidRPr="00226AFD" w:rsidRDefault="00226AFD" w:rsidP="00226AFD">
      <w:pPr>
        <w:jc w:val="both"/>
      </w:pPr>
      <w:r w:rsidRPr="00226AFD">
        <w:t>•</w:t>
      </w:r>
      <w:r w:rsidRPr="00226AFD">
        <w:tab/>
        <w:t>Nutrición e hidratación adecuadas.</w:t>
      </w:r>
    </w:p>
    <w:p w14:paraId="707F52E7" w14:textId="77777777" w:rsidR="00226AFD" w:rsidRPr="00226AFD" w:rsidRDefault="00226AFD" w:rsidP="00226AFD">
      <w:pPr>
        <w:jc w:val="both"/>
      </w:pPr>
      <w:r w:rsidRPr="00226AFD">
        <w:lastRenderedPageBreak/>
        <w:t>•</w:t>
      </w:r>
      <w:r w:rsidRPr="00226AFD">
        <w:tab/>
        <w:t>Educación sanitaria dirigida al paciente y familiares.</w:t>
      </w:r>
    </w:p>
    <w:p w14:paraId="5F9C4F18" w14:textId="77777777" w:rsidR="00226AFD" w:rsidRPr="00226AFD" w:rsidRDefault="00226AFD" w:rsidP="00226AFD">
      <w:pPr>
        <w:jc w:val="both"/>
      </w:pPr>
      <w:r w:rsidRPr="00226AFD">
        <w:t>Respecto al papel del TCAE, los estudios revisados coinciden en señalar que su intervención resulta determinante para la prevención de estas lesiones debido al contacto continuado con el paciente.</w:t>
      </w:r>
    </w:p>
    <w:p w14:paraId="0A932A35" w14:textId="77777777" w:rsidR="00226AFD" w:rsidRPr="00226AFD" w:rsidRDefault="00226AFD" w:rsidP="00226AFD">
      <w:pPr>
        <w:jc w:val="both"/>
      </w:pPr>
      <w:r w:rsidRPr="00226AFD">
        <w:t>Entre sus funciones destacan:</w:t>
      </w:r>
    </w:p>
    <w:p w14:paraId="4AC6E89A" w14:textId="77777777" w:rsidR="00226AFD" w:rsidRPr="00226AFD" w:rsidRDefault="00226AFD" w:rsidP="00226AFD">
      <w:pPr>
        <w:jc w:val="both"/>
      </w:pPr>
      <w:r w:rsidRPr="00226AFD">
        <w:t>•</w:t>
      </w:r>
      <w:r w:rsidRPr="00226AFD">
        <w:tab/>
        <w:t>Colaboración en los cambios posturales.</w:t>
      </w:r>
    </w:p>
    <w:p w14:paraId="4BD6425F" w14:textId="77777777" w:rsidR="00226AFD" w:rsidRPr="00226AFD" w:rsidRDefault="00226AFD" w:rsidP="00226AFD">
      <w:pPr>
        <w:jc w:val="both"/>
      </w:pPr>
      <w:r w:rsidRPr="00226AFD">
        <w:t>•</w:t>
      </w:r>
      <w:r w:rsidRPr="00226AFD">
        <w:tab/>
        <w:t>Observación del estado cutáneo.</w:t>
      </w:r>
    </w:p>
    <w:p w14:paraId="75BD1BF6" w14:textId="77777777" w:rsidR="00226AFD" w:rsidRPr="00226AFD" w:rsidRDefault="00226AFD" w:rsidP="00226AFD">
      <w:pPr>
        <w:jc w:val="both"/>
      </w:pPr>
      <w:r w:rsidRPr="00226AFD">
        <w:t>•</w:t>
      </w:r>
      <w:r w:rsidRPr="00226AFD">
        <w:tab/>
        <w:t>Registro de incidencias.</w:t>
      </w:r>
    </w:p>
    <w:p w14:paraId="72E6AA52" w14:textId="77777777" w:rsidR="00226AFD" w:rsidRPr="00226AFD" w:rsidRDefault="00226AFD" w:rsidP="00226AFD">
      <w:pPr>
        <w:jc w:val="both"/>
      </w:pPr>
      <w:r w:rsidRPr="00226AFD">
        <w:t>•</w:t>
      </w:r>
      <w:r w:rsidRPr="00226AFD">
        <w:tab/>
        <w:t>Mantenimiento de la higiene corporal.</w:t>
      </w:r>
    </w:p>
    <w:p w14:paraId="1620F2AB" w14:textId="77777777" w:rsidR="00226AFD" w:rsidRPr="00226AFD" w:rsidRDefault="00226AFD" w:rsidP="00226AFD">
      <w:pPr>
        <w:jc w:val="both"/>
      </w:pPr>
      <w:r w:rsidRPr="00226AFD">
        <w:t>•</w:t>
      </w:r>
      <w:r w:rsidRPr="00226AFD">
        <w:tab/>
        <w:t>Colocación adecuada del paciente.</w:t>
      </w:r>
    </w:p>
    <w:p w14:paraId="090A4CBC" w14:textId="77777777" w:rsidR="00226AFD" w:rsidRPr="00226AFD" w:rsidRDefault="00226AFD" w:rsidP="00226AFD">
      <w:pPr>
        <w:jc w:val="both"/>
      </w:pPr>
      <w:r w:rsidRPr="00226AFD">
        <w:t>•</w:t>
      </w:r>
      <w:r w:rsidRPr="00226AFD">
        <w:tab/>
        <w:t>Colaboración con enfermería en la aplicación de protocolos preventivos.</w:t>
      </w:r>
    </w:p>
    <w:p w14:paraId="6B2E8E21" w14:textId="77777777" w:rsidR="00226AFD" w:rsidRPr="00226AFD" w:rsidRDefault="00226AFD" w:rsidP="00226AFD">
      <w:pPr>
        <w:jc w:val="both"/>
      </w:pPr>
      <w:r w:rsidRPr="00226AFD">
        <w:t>La literatura también destaca que la formación continuada del personal sanitario disminuye significativamente la incidencia de úlceras por presión y mejora la calidad asistencial.</w:t>
      </w:r>
    </w:p>
    <w:p w14:paraId="740F6CEA" w14:textId="77777777" w:rsidR="00226AFD" w:rsidRPr="00226AFD" w:rsidRDefault="00226AFD" w:rsidP="00226AFD">
      <w:pPr>
        <w:jc w:val="both"/>
      </w:pPr>
      <w:r w:rsidRPr="00226AFD">
        <w:t>Discusión</w:t>
      </w:r>
    </w:p>
    <w:p w14:paraId="0ED240A0" w14:textId="77777777" w:rsidR="00226AFD" w:rsidRPr="00226AFD" w:rsidRDefault="00226AFD" w:rsidP="00226AFD">
      <w:pPr>
        <w:jc w:val="both"/>
      </w:pPr>
      <w:r w:rsidRPr="00226AFD">
        <w:t>Los resultados obtenidos ponen de manifiesto que las úlceras por presión continúan siendo un problema relevante en los centros sanitarios, aunque la mayoría pueden evitarse mediante intervenciones sencillas y coste-efectivas.</w:t>
      </w:r>
    </w:p>
    <w:p w14:paraId="3305F818" w14:textId="77777777" w:rsidR="00226AFD" w:rsidRPr="00226AFD" w:rsidRDefault="00226AFD" w:rsidP="00226AFD">
      <w:pPr>
        <w:jc w:val="both"/>
      </w:pPr>
      <w:r w:rsidRPr="00226AFD">
        <w:t>El TCAE constituye una pieza clave dentro del equipo asistencial, ya que permanece gran parte del tiempo junto al paciente y puede detectar precozmente cambios en la integridad de la piel. La comunicación inmediata de estas alteraciones favorece la instauración de medidas preventivas antes de que aparezca la lesión.</w:t>
      </w:r>
    </w:p>
    <w:p w14:paraId="070B6C84" w14:textId="77777777" w:rsidR="00226AFD" w:rsidRPr="00226AFD" w:rsidRDefault="00226AFD" w:rsidP="00226AFD">
      <w:pPr>
        <w:jc w:val="both"/>
      </w:pPr>
      <w:r w:rsidRPr="00226AFD">
        <w:t>Asimismo, la correcta realización de los cambios posturales, la higiene diaria y la utilización de dispositivos de alivio de presión reducen considerablemente el riesgo de aparición de úlceras.</w:t>
      </w:r>
    </w:p>
    <w:p w14:paraId="5C4EB57B" w14:textId="77777777" w:rsidR="00226AFD" w:rsidRPr="00226AFD" w:rsidRDefault="00226AFD" w:rsidP="00226AFD">
      <w:pPr>
        <w:jc w:val="both"/>
      </w:pPr>
      <w:r w:rsidRPr="00226AFD">
        <w:t>La evidencia científica también demuestra que la implantación de protocolos normalizados y programas de formación continuada incrementa el cumplimiento de las recomendaciones clínicas, disminuye la variabilidad asistencial y mejora los resultados en salud.</w:t>
      </w:r>
    </w:p>
    <w:p w14:paraId="52950BFF" w14:textId="77777777" w:rsidR="00226AFD" w:rsidRPr="00226AFD" w:rsidRDefault="00226AFD" w:rsidP="00226AFD">
      <w:pPr>
        <w:jc w:val="both"/>
      </w:pPr>
      <w:r w:rsidRPr="00226AFD">
        <w:t>Por otra parte, la prevención de las úlceras por presión no depende exclusivamente del TCAE, sino del trabajo coordinado entre auxiliares, enfermeras, médicos, fisioterapeutas, nutricionistas y cuidadores, lo que pone de relieve la importancia del abordaje multidisciplinar.</w:t>
      </w:r>
    </w:p>
    <w:p w14:paraId="3AFA0716" w14:textId="77777777" w:rsidR="00226AFD" w:rsidRPr="00226AFD" w:rsidRDefault="00226AFD" w:rsidP="00226AFD">
      <w:pPr>
        <w:jc w:val="both"/>
      </w:pPr>
      <w:r w:rsidRPr="00226AFD">
        <w:lastRenderedPageBreak/>
        <w:t>Conclusiones</w:t>
      </w:r>
    </w:p>
    <w:p w14:paraId="24EE9B7B" w14:textId="77777777" w:rsidR="00226AFD" w:rsidRPr="00226AFD" w:rsidRDefault="00226AFD" w:rsidP="00226AFD">
      <w:pPr>
        <w:jc w:val="both"/>
      </w:pPr>
      <w:r w:rsidRPr="00226AFD">
        <w:t>Las úlceras por presión representan un importante indicador de calidad asistencial y seguridad del paciente.</w:t>
      </w:r>
    </w:p>
    <w:p w14:paraId="70CF71E8" w14:textId="77777777" w:rsidR="00226AFD" w:rsidRPr="00226AFD" w:rsidRDefault="00226AFD" w:rsidP="00226AFD">
      <w:pPr>
        <w:jc w:val="both"/>
      </w:pPr>
      <w:r w:rsidRPr="00226AFD">
        <w:t>La evidencia científica demuestra que la mayoría de estas lesiones pueden prevenirse mediante actuaciones sistemáticas basadas en protocolos de cuidados.</w:t>
      </w:r>
    </w:p>
    <w:p w14:paraId="6151C245" w14:textId="77777777" w:rsidR="00226AFD" w:rsidRPr="00226AFD" w:rsidRDefault="00226AFD" w:rsidP="00226AFD">
      <w:pPr>
        <w:jc w:val="both"/>
      </w:pPr>
      <w:r w:rsidRPr="00226AFD">
        <w:t xml:space="preserve">El Técnico en Cuidados Auxiliares de Enfermería desempeña un papel esencial en la prevención gracias a su </w:t>
      </w:r>
      <w:proofErr w:type="gramStart"/>
      <w:r w:rsidRPr="00226AFD">
        <w:t>participación activa</w:t>
      </w:r>
      <w:proofErr w:type="gramEnd"/>
      <w:r w:rsidRPr="00226AFD">
        <w:t xml:space="preserve"> en la higiene, la movilización, la vigilancia del estado de la piel y la colaboración con el personal de enfermería.</w:t>
      </w:r>
    </w:p>
    <w:p w14:paraId="1896CDF9" w14:textId="77777777" w:rsidR="00226AFD" w:rsidRPr="00226AFD" w:rsidRDefault="00226AFD" w:rsidP="00226AFD">
      <w:pPr>
        <w:jc w:val="both"/>
      </w:pPr>
      <w:r w:rsidRPr="00226AFD">
        <w:t>La formación continuada, el cumplimiento de las recomendaciones clínicas y el trabajo en equipo constituyen herramientas fundamentales para reducir la incidencia de las úlceras por presión y mejorar la calidad de los cuidados.</w:t>
      </w:r>
    </w:p>
    <w:p w14:paraId="6C689B6D" w14:textId="77777777" w:rsidR="00226AFD" w:rsidRPr="00226AFD" w:rsidRDefault="00226AFD" w:rsidP="00226AFD">
      <w:pPr>
        <w:jc w:val="both"/>
      </w:pPr>
      <w:r w:rsidRPr="00226AFD">
        <w:t>La incorporación de programas preventivos en todos los niveles asistenciales contribuye a disminuir complicaciones, reducir costes sanitarios y aumentar la seguridad y el bienestar de los pacientes.</w:t>
      </w:r>
    </w:p>
    <w:p w14:paraId="041F99DD" w14:textId="77777777" w:rsidR="00226AFD" w:rsidRPr="00226AFD" w:rsidRDefault="00226AFD" w:rsidP="00226AFD">
      <w:pPr>
        <w:jc w:val="both"/>
      </w:pPr>
      <w:r w:rsidRPr="00226AFD">
        <w:t>Bibliografía (Norma APA 7.ª edición)</w:t>
      </w:r>
    </w:p>
    <w:p w14:paraId="4B5E711A" w14:textId="77777777" w:rsidR="00226AFD" w:rsidRPr="00226AFD" w:rsidRDefault="00226AFD" w:rsidP="00226AFD">
      <w:pPr>
        <w:jc w:val="both"/>
        <w:rPr>
          <w:lang w:val="en-GB"/>
        </w:rPr>
      </w:pPr>
      <w:r w:rsidRPr="00226AFD">
        <w:rPr>
          <w:lang w:val="en-GB"/>
        </w:rPr>
        <w:t>European Pressure Ulcer Advisory Panel (EPUAP), National Pressure Injury Advisory Panel (NPIAP) &amp; Pan Pacific Pressure Injury Alliance (PPPIA). (2019). Prevention and treatment of pressure ulcers/injuries: Clinical practice guideline.</w:t>
      </w:r>
    </w:p>
    <w:p w14:paraId="0125C6AB" w14:textId="77777777" w:rsidR="00226AFD" w:rsidRPr="00226AFD" w:rsidRDefault="00226AFD" w:rsidP="00226AFD">
      <w:pPr>
        <w:jc w:val="both"/>
        <w:rPr>
          <w:lang w:val="en-GB"/>
        </w:rPr>
      </w:pPr>
      <w:r w:rsidRPr="00226AFD">
        <w:t xml:space="preserve">Ministerio de Sanidad. (2022). Estrategia de Seguridad del Paciente del Sistema Nacional de Salud 2022–2035. </w:t>
      </w:r>
      <w:r w:rsidRPr="00226AFD">
        <w:rPr>
          <w:lang w:val="en-GB"/>
        </w:rPr>
        <w:t>Gobierno de España.</w:t>
      </w:r>
    </w:p>
    <w:p w14:paraId="214347E5" w14:textId="77777777" w:rsidR="00226AFD" w:rsidRPr="00226AFD" w:rsidRDefault="00226AFD" w:rsidP="00226AFD">
      <w:pPr>
        <w:jc w:val="both"/>
        <w:rPr>
          <w:lang w:val="en-GB"/>
        </w:rPr>
      </w:pPr>
      <w:r w:rsidRPr="00226AFD">
        <w:rPr>
          <w:lang w:val="en-GB"/>
        </w:rPr>
        <w:t>National Institute for Health and Care Excellence (NICE). (2014). Pressure ulcers: Prevention and management (CG179).</w:t>
      </w:r>
    </w:p>
    <w:p w14:paraId="2D29D165" w14:textId="77777777" w:rsidR="00226AFD" w:rsidRPr="00226AFD" w:rsidRDefault="00226AFD" w:rsidP="00226AFD">
      <w:pPr>
        <w:jc w:val="both"/>
      </w:pPr>
      <w:r w:rsidRPr="00226AFD">
        <w:t xml:space="preserve">Organización Mundial de la Salud. </w:t>
      </w:r>
      <w:r w:rsidRPr="00226AFD">
        <w:rPr>
          <w:lang w:val="en-GB"/>
        </w:rPr>
        <w:t xml:space="preserve">(2021). Global Patient Safety Action Plan 2021–2030. </w:t>
      </w:r>
      <w:r w:rsidRPr="00226AFD">
        <w:t>OMS.</w:t>
      </w:r>
    </w:p>
    <w:p w14:paraId="3852CD52" w14:textId="77777777" w:rsidR="00226AFD" w:rsidRPr="00226AFD" w:rsidRDefault="00226AFD" w:rsidP="00226AFD">
      <w:pPr>
        <w:jc w:val="both"/>
      </w:pPr>
      <w:r w:rsidRPr="00226AFD">
        <w:t xml:space="preserve">Torra i Bou, J. E., Soldevilla Ágreda, J. J., Verdú Soriano, J., López Casanova, P., &amp; Rueda López, J. (2020). Prevención de las lesiones por presión: actualización basada en la evidencia. </w:t>
      </w:r>
      <w:proofErr w:type="spellStart"/>
      <w:r w:rsidRPr="00226AFD">
        <w:t>Gerokomos</w:t>
      </w:r>
      <w:proofErr w:type="spellEnd"/>
      <w:r w:rsidRPr="00226AFD">
        <w:t>, 31(4), 190–198.</w:t>
      </w:r>
    </w:p>
    <w:p w14:paraId="15B3A02F" w14:textId="77777777" w:rsidR="00557374" w:rsidRPr="00501D3E" w:rsidRDefault="00557374" w:rsidP="000E46B3">
      <w:pPr>
        <w:jc w:val="both"/>
      </w:pPr>
    </w:p>
    <w:sectPr w:rsidR="00557374" w:rsidRPr="00501D3E">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BA4C1" w14:textId="77777777" w:rsidR="0073347E" w:rsidRDefault="0073347E" w:rsidP="00A7643B">
      <w:pPr>
        <w:spacing w:after="0" w:line="240" w:lineRule="auto"/>
      </w:pPr>
      <w:r>
        <w:separator/>
      </w:r>
    </w:p>
  </w:endnote>
  <w:endnote w:type="continuationSeparator" w:id="0">
    <w:p w14:paraId="56C26348" w14:textId="77777777" w:rsidR="0073347E" w:rsidRDefault="0073347E" w:rsidP="00A76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77927"/>
      <w:docPartObj>
        <w:docPartGallery w:val="Page Numbers (Bottom of Page)"/>
        <w:docPartUnique/>
      </w:docPartObj>
    </w:sdtPr>
    <w:sdtContent>
      <w:p w14:paraId="21B9D2B0" w14:textId="14639884" w:rsidR="00A7643B" w:rsidRDefault="00A7643B">
        <w:pPr>
          <w:pStyle w:val="Piedepgina"/>
          <w:jc w:val="center"/>
        </w:pPr>
        <w:r>
          <w:fldChar w:fldCharType="begin"/>
        </w:r>
        <w:r>
          <w:instrText>PAGE   \* MERGEFORMAT</w:instrText>
        </w:r>
        <w:r>
          <w:fldChar w:fldCharType="separate"/>
        </w:r>
        <w:r>
          <w:t>2</w:t>
        </w:r>
        <w:r>
          <w:fldChar w:fldCharType="end"/>
        </w:r>
      </w:p>
    </w:sdtContent>
  </w:sdt>
  <w:p w14:paraId="2FBA0F59" w14:textId="77777777" w:rsidR="00A7643B" w:rsidRDefault="00A764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2F301" w14:textId="77777777" w:rsidR="0073347E" w:rsidRDefault="0073347E" w:rsidP="00A7643B">
      <w:pPr>
        <w:spacing w:after="0" w:line="240" w:lineRule="auto"/>
      </w:pPr>
      <w:r>
        <w:separator/>
      </w:r>
    </w:p>
  </w:footnote>
  <w:footnote w:type="continuationSeparator" w:id="0">
    <w:p w14:paraId="6E52ED70" w14:textId="77777777" w:rsidR="0073347E" w:rsidRDefault="0073347E" w:rsidP="00A764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68D"/>
    <w:multiLevelType w:val="hybridMultilevel"/>
    <w:tmpl w:val="E85A49D2"/>
    <w:lvl w:ilvl="0" w:tplc="7BAC1876">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086A098">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62D641F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D4AA8E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41496C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85A47C6">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5C0139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748CA5C">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B756DDE6">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0B07D6A"/>
    <w:multiLevelType w:val="hybridMultilevel"/>
    <w:tmpl w:val="60E6B968"/>
    <w:lvl w:ilvl="0" w:tplc="4D565130">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CD8257E">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95ACD9E">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7BE7DC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E04A020">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56E8711A">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76CC6D4">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9FED28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BCF4740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174768D"/>
    <w:multiLevelType w:val="hybridMultilevel"/>
    <w:tmpl w:val="A8320BB0"/>
    <w:lvl w:ilvl="0" w:tplc="AEF0A190">
      <w:start w:val="1"/>
      <w:numFmt w:val="bullet"/>
      <w:lvlText w:val="•"/>
      <w:lvlJc w:val="left"/>
      <w:pPr>
        <w:ind w:left="28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B3C4FD7A">
      <w:start w:val="1"/>
      <w:numFmt w:val="bullet"/>
      <w:lvlText w:val="o"/>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53ADDA6">
      <w:start w:val="1"/>
      <w:numFmt w:val="bullet"/>
      <w:lvlText w:val="▪"/>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E03AA7F6">
      <w:start w:val="1"/>
      <w:numFmt w:val="bullet"/>
      <w:lvlText w:val="•"/>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B14C730">
      <w:start w:val="1"/>
      <w:numFmt w:val="bullet"/>
      <w:lvlText w:val="o"/>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54643FE">
      <w:start w:val="1"/>
      <w:numFmt w:val="bullet"/>
      <w:lvlText w:val="▪"/>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B2108CCE">
      <w:start w:val="1"/>
      <w:numFmt w:val="bullet"/>
      <w:lvlText w:val="•"/>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1DA0E37E">
      <w:start w:val="1"/>
      <w:numFmt w:val="bullet"/>
      <w:lvlText w:val="o"/>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12BC0A16">
      <w:start w:val="1"/>
      <w:numFmt w:val="bullet"/>
      <w:lvlText w:val="▪"/>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17A6511"/>
    <w:multiLevelType w:val="hybridMultilevel"/>
    <w:tmpl w:val="C486FA24"/>
    <w:lvl w:ilvl="0" w:tplc="E7B25538">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8BA35F2">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D1A7BB4">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A48877A">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392D284">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016ABB2">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84EBB3C">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D2CBD1C">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F1832D2">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40F66FF"/>
    <w:multiLevelType w:val="hybridMultilevel"/>
    <w:tmpl w:val="54441310"/>
    <w:lvl w:ilvl="0" w:tplc="B06EDE48">
      <w:start w:val="1"/>
      <w:numFmt w:val="bullet"/>
      <w:lvlText w:val="•"/>
      <w:lvlJc w:val="left"/>
      <w:pPr>
        <w:ind w:left="327"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1" w:tplc="1822593E">
      <w:start w:val="1"/>
      <w:numFmt w:val="bullet"/>
      <w:lvlText w:val="o"/>
      <w:lvlJc w:val="left"/>
      <w:pPr>
        <w:ind w:left="125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2" w:tplc="36EC5C28">
      <w:start w:val="1"/>
      <w:numFmt w:val="bullet"/>
      <w:lvlText w:val="▪"/>
      <w:lvlJc w:val="left"/>
      <w:pPr>
        <w:ind w:left="197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3" w:tplc="FFC4857C">
      <w:start w:val="1"/>
      <w:numFmt w:val="bullet"/>
      <w:lvlText w:val="•"/>
      <w:lvlJc w:val="left"/>
      <w:pPr>
        <w:ind w:left="269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4" w:tplc="8062C5A2">
      <w:start w:val="1"/>
      <w:numFmt w:val="bullet"/>
      <w:lvlText w:val="o"/>
      <w:lvlJc w:val="left"/>
      <w:pPr>
        <w:ind w:left="341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5" w:tplc="7C08AFB2">
      <w:start w:val="1"/>
      <w:numFmt w:val="bullet"/>
      <w:lvlText w:val="▪"/>
      <w:lvlJc w:val="left"/>
      <w:pPr>
        <w:ind w:left="413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6" w:tplc="D714CCCA">
      <w:start w:val="1"/>
      <w:numFmt w:val="bullet"/>
      <w:lvlText w:val="•"/>
      <w:lvlJc w:val="left"/>
      <w:pPr>
        <w:ind w:left="485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7" w:tplc="D61809C2">
      <w:start w:val="1"/>
      <w:numFmt w:val="bullet"/>
      <w:lvlText w:val="o"/>
      <w:lvlJc w:val="left"/>
      <w:pPr>
        <w:ind w:left="557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8" w:tplc="9B105004">
      <w:start w:val="1"/>
      <w:numFmt w:val="bullet"/>
      <w:lvlText w:val="▪"/>
      <w:lvlJc w:val="left"/>
      <w:pPr>
        <w:ind w:left="629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abstractNum>
  <w:abstractNum w:abstractNumId="5" w15:restartNumberingAfterBreak="0">
    <w:nsid w:val="04AE486D"/>
    <w:multiLevelType w:val="hybridMultilevel"/>
    <w:tmpl w:val="9D288772"/>
    <w:lvl w:ilvl="0" w:tplc="B55615E0">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4B04BAC">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67187036">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65208C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6F67CE0">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225A5528">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728E4F8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A0430A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4FD05824">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04E87564"/>
    <w:multiLevelType w:val="hybridMultilevel"/>
    <w:tmpl w:val="7BDC0F24"/>
    <w:lvl w:ilvl="0" w:tplc="3F1ED1AE">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0D2F29C">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7C2AA96">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E4F8A3B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F60E714">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7B4FE58">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342098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140C2E6">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8A12748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064A784C"/>
    <w:multiLevelType w:val="hybridMultilevel"/>
    <w:tmpl w:val="C1EACC9E"/>
    <w:lvl w:ilvl="0" w:tplc="5272574E">
      <w:start w:val="1"/>
      <w:numFmt w:val="bullet"/>
      <w:lvlText w:val="•"/>
      <w:lvlJc w:val="left"/>
      <w:pPr>
        <w:ind w:left="172"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1" w:tplc="B0A8C1E8">
      <w:start w:val="1"/>
      <w:numFmt w:val="bullet"/>
      <w:lvlText w:val="o"/>
      <w:lvlJc w:val="left"/>
      <w:pPr>
        <w:ind w:left="108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2" w:tplc="7D6E4F34">
      <w:start w:val="1"/>
      <w:numFmt w:val="bullet"/>
      <w:lvlText w:val="▪"/>
      <w:lvlJc w:val="left"/>
      <w:pPr>
        <w:ind w:left="180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3" w:tplc="CFEAFBE6">
      <w:start w:val="1"/>
      <w:numFmt w:val="bullet"/>
      <w:lvlText w:val="•"/>
      <w:lvlJc w:val="left"/>
      <w:pPr>
        <w:ind w:left="252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4" w:tplc="583C5BAA">
      <w:start w:val="1"/>
      <w:numFmt w:val="bullet"/>
      <w:lvlText w:val="o"/>
      <w:lvlJc w:val="left"/>
      <w:pPr>
        <w:ind w:left="324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5" w:tplc="14BCC896">
      <w:start w:val="1"/>
      <w:numFmt w:val="bullet"/>
      <w:lvlText w:val="▪"/>
      <w:lvlJc w:val="left"/>
      <w:pPr>
        <w:ind w:left="396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6" w:tplc="9820AB1E">
      <w:start w:val="1"/>
      <w:numFmt w:val="bullet"/>
      <w:lvlText w:val="•"/>
      <w:lvlJc w:val="left"/>
      <w:pPr>
        <w:ind w:left="468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7" w:tplc="2BB2AB80">
      <w:start w:val="1"/>
      <w:numFmt w:val="bullet"/>
      <w:lvlText w:val="o"/>
      <w:lvlJc w:val="left"/>
      <w:pPr>
        <w:ind w:left="540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8" w:tplc="D06EAAF8">
      <w:start w:val="1"/>
      <w:numFmt w:val="bullet"/>
      <w:lvlText w:val="▪"/>
      <w:lvlJc w:val="left"/>
      <w:pPr>
        <w:ind w:left="612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abstractNum>
  <w:abstractNum w:abstractNumId="8" w15:restartNumberingAfterBreak="0">
    <w:nsid w:val="09EC4D89"/>
    <w:multiLevelType w:val="hybridMultilevel"/>
    <w:tmpl w:val="57FE2C0C"/>
    <w:lvl w:ilvl="0" w:tplc="4A04CC66">
      <w:start w:val="1"/>
      <w:numFmt w:val="decimal"/>
      <w:lvlText w:val="%1."/>
      <w:lvlJc w:val="left"/>
      <w:pPr>
        <w:ind w:left="7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A6A9248">
      <w:start w:val="1"/>
      <w:numFmt w:val="lowerLetter"/>
      <w:lvlText w:val="%2"/>
      <w:lvlJc w:val="left"/>
      <w:pPr>
        <w:ind w:left="15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363C1162">
      <w:start w:val="1"/>
      <w:numFmt w:val="lowerRoman"/>
      <w:lvlText w:val="%3"/>
      <w:lvlJc w:val="left"/>
      <w:pPr>
        <w:ind w:left="22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3CCE3B2">
      <w:start w:val="1"/>
      <w:numFmt w:val="decimal"/>
      <w:lvlText w:val="%4"/>
      <w:lvlJc w:val="left"/>
      <w:pPr>
        <w:ind w:left="29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6A4346E">
      <w:start w:val="1"/>
      <w:numFmt w:val="lowerLetter"/>
      <w:lvlText w:val="%5"/>
      <w:lvlJc w:val="left"/>
      <w:pPr>
        <w:ind w:left="36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990A230">
      <w:start w:val="1"/>
      <w:numFmt w:val="lowerRoman"/>
      <w:lvlText w:val="%6"/>
      <w:lvlJc w:val="left"/>
      <w:pPr>
        <w:ind w:left="43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3BE82C8">
      <w:start w:val="1"/>
      <w:numFmt w:val="decimal"/>
      <w:lvlText w:val="%7"/>
      <w:lvlJc w:val="left"/>
      <w:pPr>
        <w:ind w:left="51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EBCDE38">
      <w:start w:val="1"/>
      <w:numFmt w:val="lowerLetter"/>
      <w:lvlText w:val="%8"/>
      <w:lvlJc w:val="left"/>
      <w:pPr>
        <w:ind w:left="58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8DD81190">
      <w:start w:val="1"/>
      <w:numFmt w:val="lowerRoman"/>
      <w:lvlText w:val="%9"/>
      <w:lvlJc w:val="left"/>
      <w:pPr>
        <w:ind w:left="65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0AC67EAC"/>
    <w:multiLevelType w:val="hybridMultilevel"/>
    <w:tmpl w:val="6794F266"/>
    <w:lvl w:ilvl="0" w:tplc="D600644E">
      <w:start w:val="1"/>
      <w:numFmt w:val="decimal"/>
      <w:lvlText w:val="%1."/>
      <w:lvlJc w:val="left"/>
      <w:pPr>
        <w:ind w:left="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5AE2CF2">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65A82D8">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182F794">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F66C1E6">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DB87914">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680E488">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39EDE9A">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EA0DE1C">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0B613732"/>
    <w:multiLevelType w:val="hybridMultilevel"/>
    <w:tmpl w:val="F5381942"/>
    <w:lvl w:ilvl="0" w:tplc="68424D58">
      <w:start w:val="1"/>
      <w:numFmt w:val="decimal"/>
      <w:lvlText w:val="%1."/>
      <w:lvlJc w:val="left"/>
      <w:pPr>
        <w:ind w:left="7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02C7B7C">
      <w:start w:val="1"/>
      <w:numFmt w:val="lowerLetter"/>
      <w:lvlText w:val="%2"/>
      <w:lvlJc w:val="left"/>
      <w:pPr>
        <w:ind w:left="15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41A559A">
      <w:start w:val="1"/>
      <w:numFmt w:val="lowerRoman"/>
      <w:lvlText w:val="%3"/>
      <w:lvlJc w:val="left"/>
      <w:pPr>
        <w:ind w:left="22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DAE0D7A">
      <w:start w:val="1"/>
      <w:numFmt w:val="decimal"/>
      <w:lvlText w:val="%4"/>
      <w:lvlJc w:val="left"/>
      <w:pPr>
        <w:ind w:left="29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7941DEA">
      <w:start w:val="1"/>
      <w:numFmt w:val="lowerLetter"/>
      <w:lvlText w:val="%5"/>
      <w:lvlJc w:val="left"/>
      <w:pPr>
        <w:ind w:left="36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A4258F0">
      <w:start w:val="1"/>
      <w:numFmt w:val="lowerRoman"/>
      <w:lvlText w:val="%6"/>
      <w:lvlJc w:val="left"/>
      <w:pPr>
        <w:ind w:left="43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6BCE4AE2">
      <w:start w:val="1"/>
      <w:numFmt w:val="decimal"/>
      <w:lvlText w:val="%7"/>
      <w:lvlJc w:val="left"/>
      <w:pPr>
        <w:ind w:left="51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55C5108">
      <w:start w:val="1"/>
      <w:numFmt w:val="lowerLetter"/>
      <w:lvlText w:val="%8"/>
      <w:lvlJc w:val="left"/>
      <w:pPr>
        <w:ind w:left="58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634DAEE">
      <w:start w:val="1"/>
      <w:numFmt w:val="lowerRoman"/>
      <w:lvlText w:val="%9"/>
      <w:lvlJc w:val="left"/>
      <w:pPr>
        <w:ind w:left="65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0B8069D5"/>
    <w:multiLevelType w:val="hybridMultilevel"/>
    <w:tmpl w:val="BA04A6C2"/>
    <w:lvl w:ilvl="0" w:tplc="FE06BBFA">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DB49E80">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42E668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676486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4FA8F1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762CB5A">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DCF8C19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57661AE">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C5AE422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0B8227BC"/>
    <w:multiLevelType w:val="hybridMultilevel"/>
    <w:tmpl w:val="346CA472"/>
    <w:lvl w:ilvl="0" w:tplc="1840912E">
      <w:start w:val="1"/>
      <w:numFmt w:val="decimal"/>
      <w:lvlText w:val="%1."/>
      <w:lvlJc w:val="left"/>
      <w:pPr>
        <w:ind w:left="1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B1C04BE">
      <w:start w:val="1"/>
      <w:numFmt w:val="lowerLetter"/>
      <w:lvlText w:val="%2"/>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4AA2A808">
      <w:start w:val="1"/>
      <w:numFmt w:val="lowerRoman"/>
      <w:lvlText w:val="%3"/>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EC8EB386">
      <w:start w:val="1"/>
      <w:numFmt w:val="decimal"/>
      <w:lvlText w:val="%4"/>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9E4D8FC">
      <w:start w:val="1"/>
      <w:numFmt w:val="lowerLetter"/>
      <w:lvlText w:val="%5"/>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402C5DC">
      <w:start w:val="1"/>
      <w:numFmt w:val="lowerRoman"/>
      <w:lvlText w:val="%6"/>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44F6148C">
      <w:start w:val="1"/>
      <w:numFmt w:val="decimal"/>
      <w:lvlText w:val="%7"/>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1A2A932">
      <w:start w:val="1"/>
      <w:numFmt w:val="lowerLetter"/>
      <w:lvlText w:val="%8"/>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54048516">
      <w:start w:val="1"/>
      <w:numFmt w:val="lowerRoman"/>
      <w:lvlText w:val="%9"/>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0C1B2982"/>
    <w:multiLevelType w:val="hybridMultilevel"/>
    <w:tmpl w:val="57747DA6"/>
    <w:lvl w:ilvl="0" w:tplc="D8A49624">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424E35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73062E24">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91947E5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740EDD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356B1A4">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58647F2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D12FE9C">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59A6C166">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0C7C1F53"/>
    <w:multiLevelType w:val="hybridMultilevel"/>
    <w:tmpl w:val="0374E988"/>
    <w:lvl w:ilvl="0" w:tplc="B17C9160">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AD050E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E2229C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C92AA04">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B360EC4">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BF3E50D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DE54D50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F7E7272">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E7D2E05E">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10F65205"/>
    <w:multiLevelType w:val="hybridMultilevel"/>
    <w:tmpl w:val="24E4CB8A"/>
    <w:lvl w:ilvl="0" w:tplc="1232634A">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4B0E37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1CAE504">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FEAEE30">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B0231D4">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77C0824">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B3CAA7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4666CA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481265F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16B14556"/>
    <w:multiLevelType w:val="hybridMultilevel"/>
    <w:tmpl w:val="5FFA670E"/>
    <w:lvl w:ilvl="0" w:tplc="08948F06">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952F4D6">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C925408">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F885BA2">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4B00B56">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8DA3C7A">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DF849F2">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37EA368">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F7CA938">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17236109"/>
    <w:multiLevelType w:val="hybridMultilevel"/>
    <w:tmpl w:val="B8AAD27A"/>
    <w:lvl w:ilvl="0" w:tplc="451225F2">
      <w:start w:val="1"/>
      <w:numFmt w:val="bullet"/>
      <w:lvlText w:val="*"/>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3782032">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69224BC">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2423642">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5AAB76A">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8BC21F0">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93A61FA">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54CFD4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D6278E0">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18135096"/>
    <w:multiLevelType w:val="hybridMultilevel"/>
    <w:tmpl w:val="9A5E7396"/>
    <w:lvl w:ilvl="0" w:tplc="BBAC6EDE">
      <w:start w:val="1"/>
      <w:numFmt w:val="bullet"/>
      <w:lvlText w:val="•"/>
      <w:lvlJc w:val="left"/>
      <w:pPr>
        <w:ind w:left="28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BA804956">
      <w:start w:val="1"/>
      <w:numFmt w:val="bullet"/>
      <w:lvlText w:val="o"/>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66801A8">
      <w:start w:val="1"/>
      <w:numFmt w:val="bullet"/>
      <w:lvlText w:val="▪"/>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73A5748">
      <w:start w:val="1"/>
      <w:numFmt w:val="bullet"/>
      <w:lvlText w:val="•"/>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BA68C49E">
      <w:start w:val="1"/>
      <w:numFmt w:val="bullet"/>
      <w:lvlText w:val="o"/>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4DCC7C4">
      <w:start w:val="1"/>
      <w:numFmt w:val="bullet"/>
      <w:lvlText w:val="▪"/>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F4CD438">
      <w:start w:val="1"/>
      <w:numFmt w:val="bullet"/>
      <w:lvlText w:val="•"/>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C7AA2AA">
      <w:start w:val="1"/>
      <w:numFmt w:val="bullet"/>
      <w:lvlText w:val="o"/>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FEF8FE4A">
      <w:start w:val="1"/>
      <w:numFmt w:val="bullet"/>
      <w:lvlText w:val="▪"/>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1831346C"/>
    <w:multiLevelType w:val="hybridMultilevel"/>
    <w:tmpl w:val="7E4A593C"/>
    <w:lvl w:ilvl="0" w:tplc="D682CCB0">
      <w:start w:val="1"/>
      <w:numFmt w:val="bullet"/>
      <w:lvlText w:val="•"/>
      <w:lvlJc w:val="left"/>
      <w:pPr>
        <w:ind w:left="282"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1" w:tplc="2CCCE750">
      <w:start w:val="1"/>
      <w:numFmt w:val="bullet"/>
      <w:lvlText w:val="o"/>
      <w:lvlJc w:val="left"/>
      <w:pPr>
        <w:ind w:left="10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2" w:tplc="6B8C7788">
      <w:start w:val="1"/>
      <w:numFmt w:val="bullet"/>
      <w:lvlText w:val="▪"/>
      <w:lvlJc w:val="left"/>
      <w:pPr>
        <w:ind w:left="18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3" w:tplc="0FDA8AFC">
      <w:start w:val="1"/>
      <w:numFmt w:val="bullet"/>
      <w:lvlText w:val="•"/>
      <w:lvlJc w:val="left"/>
      <w:pPr>
        <w:ind w:left="25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4" w:tplc="8E222360">
      <w:start w:val="1"/>
      <w:numFmt w:val="bullet"/>
      <w:lvlText w:val="o"/>
      <w:lvlJc w:val="left"/>
      <w:pPr>
        <w:ind w:left="324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5" w:tplc="902EDE0E">
      <w:start w:val="1"/>
      <w:numFmt w:val="bullet"/>
      <w:lvlText w:val="▪"/>
      <w:lvlJc w:val="left"/>
      <w:pPr>
        <w:ind w:left="396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6" w:tplc="3B7210DA">
      <w:start w:val="1"/>
      <w:numFmt w:val="bullet"/>
      <w:lvlText w:val="•"/>
      <w:lvlJc w:val="left"/>
      <w:pPr>
        <w:ind w:left="46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7" w:tplc="E4AC4258">
      <w:start w:val="1"/>
      <w:numFmt w:val="bullet"/>
      <w:lvlText w:val="o"/>
      <w:lvlJc w:val="left"/>
      <w:pPr>
        <w:ind w:left="54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8" w:tplc="8900590A">
      <w:start w:val="1"/>
      <w:numFmt w:val="bullet"/>
      <w:lvlText w:val="▪"/>
      <w:lvlJc w:val="left"/>
      <w:pPr>
        <w:ind w:left="61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abstractNum>
  <w:abstractNum w:abstractNumId="20" w15:restartNumberingAfterBreak="0">
    <w:nsid w:val="185707B6"/>
    <w:multiLevelType w:val="hybridMultilevel"/>
    <w:tmpl w:val="1FF6830E"/>
    <w:lvl w:ilvl="0" w:tplc="24505746">
      <w:start w:val="1"/>
      <w:numFmt w:val="decimal"/>
      <w:lvlText w:val="%1."/>
      <w:lvlJc w:val="left"/>
      <w:pPr>
        <w:ind w:left="7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C108A60">
      <w:start w:val="1"/>
      <w:numFmt w:val="lowerLetter"/>
      <w:lvlText w:val="%2"/>
      <w:lvlJc w:val="left"/>
      <w:pPr>
        <w:ind w:left="15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05061F86">
      <w:start w:val="1"/>
      <w:numFmt w:val="lowerRoman"/>
      <w:lvlText w:val="%3"/>
      <w:lvlJc w:val="left"/>
      <w:pPr>
        <w:ind w:left="22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D0D2C304">
      <w:start w:val="1"/>
      <w:numFmt w:val="decimal"/>
      <w:lvlText w:val="%4"/>
      <w:lvlJc w:val="left"/>
      <w:pPr>
        <w:ind w:left="29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948CBF8">
      <w:start w:val="1"/>
      <w:numFmt w:val="lowerLetter"/>
      <w:lvlText w:val="%5"/>
      <w:lvlJc w:val="left"/>
      <w:pPr>
        <w:ind w:left="36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36A07A4">
      <w:start w:val="1"/>
      <w:numFmt w:val="lowerRoman"/>
      <w:lvlText w:val="%6"/>
      <w:lvlJc w:val="left"/>
      <w:pPr>
        <w:ind w:left="43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0125890">
      <w:start w:val="1"/>
      <w:numFmt w:val="decimal"/>
      <w:lvlText w:val="%7"/>
      <w:lvlJc w:val="left"/>
      <w:pPr>
        <w:ind w:left="51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F403434">
      <w:start w:val="1"/>
      <w:numFmt w:val="lowerLetter"/>
      <w:lvlText w:val="%8"/>
      <w:lvlJc w:val="left"/>
      <w:pPr>
        <w:ind w:left="58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2AC6A5C">
      <w:start w:val="1"/>
      <w:numFmt w:val="lowerRoman"/>
      <w:lvlText w:val="%9"/>
      <w:lvlJc w:val="left"/>
      <w:pPr>
        <w:ind w:left="65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18B50162"/>
    <w:multiLevelType w:val="hybridMultilevel"/>
    <w:tmpl w:val="F1B098B8"/>
    <w:lvl w:ilvl="0" w:tplc="356A8AB6">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5BC186E">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92822282">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36A1A7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B70C82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1D8996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B72821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CF26C1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A4721C18">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1A8E5E35"/>
    <w:multiLevelType w:val="hybridMultilevel"/>
    <w:tmpl w:val="D14A8520"/>
    <w:lvl w:ilvl="0" w:tplc="8A789F54">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DBE69B0">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CC2865A">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0CC419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A16EB4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BF4CBD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C804EF0E">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F3491D2">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3C8FAD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3" w15:restartNumberingAfterBreak="0">
    <w:nsid w:val="1D057A0F"/>
    <w:multiLevelType w:val="hybridMultilevel"/>
    <w:tmpl w:val="92869388"/>
    <w:lvl w:ilvl="0" w:tplc="4DB4462C">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18ECD48">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F4BC615E">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DC8449FE">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22068C2">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4C8AAC66">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4FF268C4">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062E6A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0A0B7D6">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1DD1193B"/>
    <w:multiLevelType w:val="hybridMultilevel"/>
    <w:tmpl w:val="CBAE45F4"/>
    <w:lvl w:ilvl="0" w:tplc="F1A4EA84">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F001688">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E4CB550">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D508960">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25866B2">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9C8E70">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A7A6146">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10A761A">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48C5D1A">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1EC64152"/>
    <w:multiLevelType w:val="hybridMultilevel"/>
    <w:tmpl w:val="5016D422"/>
    <w:lvl w:ilvl="0" w:tplc="93FE1AB2">
      <w:start w:val="1"/>
      <w:numFmt w:val="bullet"/>
      <w:lvlText w:val="*"/>
      <w:lvlJc w:val="left"/>
      <w:pPr>
        <w:ind w:left="13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3B25BBA">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33A88B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F7E695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0F4612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45AC555E">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677EA7E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62C96C">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BBF2E86A">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207B457D"/>
    <w:multiLevelType w:val="hybridMultilevel"/>
    <w:tmpl w:val="3B800B1C"/>
    <w:lvl w:ilvl="0" w:tplc="A8F43D1A">
      <w:start w:val="1"/>
      <w:numFmt w:val="bullet"/>
      <w:lvlText w:val="•"/>
      <w:lvlJc w:val="left"/>
      <w:pPr>
        <w:ind w:left="172"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1" w:tplc="82E29ECE">
      <w:start w:val="1"/>
      <w:numFmt w:val="bullet"/>
      <w:lvlText w:val="o"/>
      <w:lvlJc w:val="left"/>
      <w:pPr>
        <w:ind w:left="108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2" w:tplc="C46E287E">
      <w:start w:val="1"/>
      <w:numFmt w:val="bullet"/>
      <w:lvlText w:val="▪"/>
      <w:lvlJc w:val="left"/>
      <w:pPr>
        <w:ind w:left="180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3" w:tplc="B74EE3A8">
      <w:start w:val="1"/>
      <w:numFmt w:val="bullet"/>
      <w:lvlText w:val="•"/>
      <w:lvlJc w:val="left"/>
      <w:pPr>
        <w:ind w:left="252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4" w:tplc="641AC566">
      <w:start w:val="1"/>
      <w:numFmt w:val="bullet"/>
      <w:lvlText w:val="o"/>
      <w:lvlJc w:val="left"/>
      <w:pPr>
        <w:ind w:left="324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5" w:tplc="94DC250C">
      <w:start w:val="1"/>
      <w:numFmt w:val="bullet"/>
      <w:lvlText w:val="▪"/>
      <w:lvlJc w:val="left"/>
      <w:pPr>
        <w:ind w:left="396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6" w:tplc="8D0CA018">
      <w:start w:val="1"/>
      <w:numFmt w:val="bullet"/>
      <w:lvlText w:val="•"/>
      <w:lvlJc w:val="left"/>
      <w:pPr>
        <w:ind w:left="468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7" w:tplc="42646126">
      <w:start w:val="1"/>
      <w:numFmt w:val="bullet"/>
      <w:lvlText w:val="o"/>
      <w:lvlJc w:val="left"/>
      <w:pPr>
        <w:ind w:left="540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8" w:tplc="51662D06">
      <w:start w:val="1"/>
      <w:numFmt w:val="bullet"/>
      <w:lvlText w:val="▪"/>
      <w:lvlJc w:val="left"/>
      <w:pPr>
        <w:ind w:left="612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abstractNum>
  <w:abstractNum w:abstractNumId="27" w15:restartNumberingAfterBreak="0">
    <w:nsid w:val="21E61C31"/>
    <w:multiLevelType w:val="hybridMultilevel"/>
    <w:tmpl w:val="0316BD58"/>
    <w:lvl w:ilvl="0" w:tplc="771CD574">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BA66DA8">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A481B0E">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4326174">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BFA9F7E">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131802A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538A26C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92E9F2C">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E410CACE">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220E286B"/>
    <w:multiLevelType w:val="hybridMultilevel"/>
    <w:tmpl w:val="4028D032"/>
    <w:lvl w:ilvl="0" w:tplc="C1567096">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E2217BA">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7ADA70CA">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26C934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78E14A6">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6B41D2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735E5FDA">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3D0CD8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B678AA2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9" w15:restartNumberingAfterBreak="0">
    <w:nsid w:val="25A44C40"/>
    <w:multiLevelType w:val="hybridMultilevel"/>
    <w:tmpl w:val="8670F620"/>
    <w:lvl w:ilvl="0" w:tplc="EB965672">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3228688">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7C3EEF7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316BD5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A549CB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BAA96D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6C5441C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AF865DC">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5F8204E">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0" w15:restartNumberingAfterBreak="0">
    <w:nsid w:val="27563EB4"/>
    <w:multiLevelType w:val="hybridMultilevel"/>
    <w:tmpl w:val="E550EC10"/>
    <w:lvl w:ilvl="0" w:tplc="E570BEF4">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87EF9AC">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EAAD8F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A10FA2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864354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03B6DF5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75B65AE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11209D6">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D5F825EC">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28643853"/>
    <w:multiLevelType w:val="hybridMultilevel"/>
    <w:tmpl w:val="F6DAC116"/>
    <w:lvl w:ilvl="0" w:tplc="02887B08">
      <w:start w:val="1"/>
      <w:numFmt w:val="bullet"/>
      <w:lvlText w:val="•"/>
      <w:lvlJc w:val="left"/>
      <w:pPr>
        <w:ind w:left="560" w:hanging="300"/>
      </w:pPr>
    </w:lvl>
    <w:lvl w:ilvl="1" w:tplc="74DC7726">
      <w:numFmt w:val="decimal"/>
      <w:lvlText w:val=""/>
      <w:lvlJc w:val="left"/>
      <w:pPr>
        <w:ind w:left="0" w:firstLine="0"/>
      </w:pPr>
    </w:lvl>
    <w:lvl w:ilvl="2" w:tplc="78AE2E4C">
      <w:numFmt w:val="decimal"/>
      <w:lvlText w:val=""/>
      <w:lvlJc w:val="left"/>
      <w:pPr>
        <w:ind w:left="0" w:firstLine="0"/>
      </w:pPr>
    </w:lvl>
    <w:lvl w:ilvl="3" w:tplc="A086AAFE">
      <w:numFmt w:val="decimal"/>
      <w:lvlText w:val=""/>
      <w:lvlJc w:val="left"/>
      <w:pPr>
        <w:ind w:left="0" w:firstLine="0"/>
      </w:pPr>
    </w:lvl>
    <w:lvl w:ilvl="4" w:tplc="5C9890A8">
      <w:numFmt w:val="decimal"/>
      <w:lvlText w:val=""/>
      <w:lvlJc w:val="left"/>
      <w:pPr>
        <w:ind w:left="0" w:firstLine="0"/>
      </w:pPr>
    </w:lvl>
    <w:lvl w:ilvl="5" w:tplc="F62209FC">
      <w:numFmt w:val="decimal"/>
      <w:lvlText w:val=""/>
      <w:lvlJc w:val="left"/>
      <w:pPr>
        <w:ind w:left="0" w:firstLine="0"/>
      </w:pPr>
    </w:lvl>
    <w:lvl w:ilvl="6" w:tplc="64D8530C">
      <w:numFmt w:val="decimal"/>
      <w:lvlText w:val=""/>
      <w:lvlJc w:val="left"/>
      <w:pPr>
        <w:ind w:left="0" w:firstLine="0"/>
      </w:pPr>
    </w:lvl>
    <w:lvl w:ilvl="7" w:tplc="55B095EE">
      <w:numFmt w:val="decimal"/>
      <w:lvlText w:val=""/>
      <w:lvlJc w:val="left"/>
      <w:pPr>
        <w:ind w:left="0" w:firstLine="0"/>
      </w:pPr>
    </w:lvl>
    <w:lvl w:ilvl="8" w:tplc="791CCD82">
      <w:numFmt w:val="decimal"/>
      <w:lvlText w:val=""/>
      <w:lvlJc w:val="left"/>
      <w:pPr>
        <w:ind w:left="0" w:firstLine="0"/>
      </w:pPr>
    </w:lvl>
  </w:abstractNum>
  <w:abstractNum w:abstractNumId="32" w15:restartNumberingAfterBreak="0">
    <w:nsid w:val="28783F96"/>
    <w:multiLevelType w:val="hybridMultilevel"/>
    <w:tmpl w:val="39AE4DD0"/>
    <w:lvl w:ilvl="0" w:tplc="778007FE">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3CCC1F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2CA0ED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D623D0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EEE255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B46B85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E0C632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20E375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33A42F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2AE248B6"/>
    <w:multiLevelType w:val="hybridMultilevel"/>
    <w:tmpl w:val="05CA6D6A"/>
    <w:lvl w:ilvl="0" w:tplc="012691DE">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9E8D3A6">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A54F60E">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0920528">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332C434">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7389F04">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C44A2D8">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BAC584A">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D968B32">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31FB29C0"/>
    <w:multiLevelType w:val="hybridMultilevel"/>
    <w:tmpl w:val="1AAE0D22"/>
    <w:lvl w:ilvl="0" w:tplc="3FF4EC50">
      <w:start w:val="1"/>
      <w:numFmt w:val="lowerLetter"/>
      <w:lvlText w:val="%1)"/>
      <w:lvlJc w:val="left"/>
      <w:pPr>
        <w:ind w:left="378"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1" w:tplc="72E41CE6">
      <w:start w:val="1"/>
      <w:numFmt w:val="lowerLetter"/>
      <w:lvlText w:val="%2"/>
      <w:lvlJc w:val="left"/>
      <w:pPr>
        <w:ind w:left="1193"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2" w:tplc="00F2BA28">
      <w:start w:val="1"/>
      <w:numFmt w:val="lowerRoman"/>
      <w:lvlText w:val="%3"/>
      <w:lvlJc w:val="left"/>
      <w:pPr>
        <w:ind w:left="1913"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3" w:tplc="14764AC2">
      <w:start w:val="1"/>
      <w:numFmt w:val="decimal"/>
      <w:lvlText w:val="%4"/>
      <w:lvlJc w:val="left"/>
      <w:pPr>
        <w:ind w:left="2633"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4" w:tplc="835861A8">
      <w:start w:val="1"/>
      <w:numFmt w:val="lowerLetter"/>
      <w:lvlText w:val="%5"/>
      <w:lvlJc w:val="left"/>
      <w:pPr>
        <w:ind w:left="3353"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5" w:tplc="07081918">
      <w:start w:val="1"/>
      <w:numFmt w:val="lowerRoman"/>
      <w:lvlText w:val="%6"/>
      <w:lvlJc w:val="left"/>
      <w:pPr>
        <w:ind w:left="4073"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6" w:tplc="F2B8078E">
      <w:start w:val="1"/>
      <w:numFmt w:val="decimal"/>
      <w:lvlText w:val="%7"/>
      <w:lvlJc w:val="left"/>
      <w:pPr>
        <w:ind w:left="4793"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7" w:tplc="2E0041F6">
      <w:start w:val="1"/>
      <w:numFmt w:val="lowerLetter"/>
      <w:lvlText w:val="%8"/>
      <w:lvlJc w:val="left"/>
      <w:pPr>
        <w:ind w:left="5513"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lvl w:ilvl="8" w:tplc="C99CE73C">
      <w:start w:val="1"/>
      <w:numFmt w:val="lowerRoman"/>
      <w:lvlText w:val="%9"/>
      <w:lvlJc w:val="left"/>
      <w:pPr>
        <w:ind w:left="6233" w:firstLine="0"/>
      </w:pPr>
      <w:rPr>
        <w:rFonts w:ascii="Arial" w:eastAsia="Arial" w:hAnsi="Arial" w:cs="Arial"/>
        <w:b w:val="0"/>
        <w:i w:val="0"/>
        <w:strike w:val="0"/>
        <w:dstrike w:val="0"/>
        <w:color w:val="000000"/>
        <w:sz w:val="21"/>
        <w:szCs w:val="21"/>
        <w:u w:val="none" w:color="000000"/>
        <w:effect w:val="none"/>
        <w:bdr w:val="none" w:sz="0" w:space="0" w:color="auto" w:frame="1"/>
        <w:vertAlign w:val="baseline"/>
      </w:rPr>
    </w:lvl>
  </w:abstractNum>
  <w:abstractNum w:abstractNumId="35" w15:restartNumberingAfterBreak="0">
    <w:nsid w:val="32E12EB0"/>
    <w:multiLevelType w:val="hybridMultilevel"/>
    <w:tmpl w:val="BDCA88D8"/>
    <w:lvl w:ilvl="0" w:tplc="5942A9E8">
      <w:start w:val="1"/>
      <w:numFmt w:val="bullet"/>
      <w:lvlText w:val="•"/>
      <w:lvlJc w:val="left"/>
      <w:pPr>
        <w:ind w:left="282"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1" w:tplc="D8AA88E2">
      <w:start w:val="1"/>
      <w:numFmt w:val="bullet"/>
      <w:lvlText w:val="o"/>
      <w:lvlJc w:val="left"/>
      <w:pPr>
        <w:ind w:left="10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2" w:tplc="E226531E">
      <w:start w:val="1"/>
      <w:numFmt w:val="bullet"/>
      <w:lvlText w:val="▪"/>
      <w:lvlJc w:val="left"/>
      <w:pPr>
        <w:ind w:left="18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3" w:tplc="3DAAF168">
      <w:start w:val="1"/>
      <w:numFmt w:val="bullet"/>
      <w:lvlText w:val="•"/>
      <w:lvlJc w:val="left"/>
      <w:pPr>
        <w:ind w:left="25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4" w:tplc="EA1CD52E">
      <w:start w:val="1"/>
      <w:numFmt w:val="bullet"/>
      <w:lvlText w:val="o"/>
      <w:lvlJc w:val="left"/>
      <w:pPr>
        <w:ind w:left="324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5" w:tplc="C3400330">
      <w:start w:val="1"/>
      <w:numFmt w:val="bullet"/>
      <w:lvlText w:val="▪"/>
      <w:lvlJc w:val="left"/>
      <w:pPr>
        <w:ind w:left="396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6" w:tplc="900CB156">
      <w:start w:val="1"/>
      <w:numFmt w:val="bullet"/>
      <w:lvlText w:val="•"/>
      <w:lvlJc w:val="left"/>
      <w:pPr>
        <w:ind w:left="46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7" w:tplc="DB2E035A">
      <w:start w:val="1"/>
      <w:numFmt w:val="bullet"/>
      <w:lvlText w:val="o"/>
      <w:lvlJc w:val="left"/>
      <w:pPr>
        <w:ind w:left="54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8" w:tplc="13B801DE">
      <w:start w:val="1"/>
      <w:numFmt w:val="bullet"/>
      <w:lvlText w:val="▪"/>
      <w:lvlJc w:val="left"/>
      <w:pPr>
        <w:ind w:left="61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abstractNum>
  <w:abstractNum w:abstractNumId="36" w15:restartNumberingAfterBreak="0">
    <w:nsid w:val="33643B81"/>
    <w:multiLevelType w:val="hybridMultilevel"/>
    <w:tmpl w:val="C07E50A8"/>
    <w:lvl w:ilvl="0" w:tplc="A37079F4">
      <w:start w:val="1"/>
      <w:numFmt w:val="bullet"/>
      <w:lvlText w:val="•"/>
      <w:lvlJc w:val="left"/>
      <w:pPr>
        <w:ind w:left="28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1214DB18">
      <w:start w:val="1"/>
      <w:numFmt w:val="bullet"/>
      <w:lvlText w:val="o"/>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B9EBD56">
      <w:start w:val="1"/>
      <w:numFmt w:val="bullet"/>
      <w:lvlText w:val="▪"/>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2834B050">
      <w:start w:val="1"/>
      <w:numFmt w:val="bullet"/>
      <w:lvlText w:val="•"/>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7F520146">
      <w:start w:val="1"/>
      <w:numFmt w:val="bullet"/>
      <w:lvlText w:val="o"/>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2F228BA4">
      <w:start w:val="1"/>
      <w:numFmt w:val="bullet"/>
      <w:lvlText w:val="▪"/>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B728F66C">
      <w:start w:val="1"/>
      <w:numFmt w:val="bullet"/>
      <w:lvlText w:val="•"/>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25C8C864">
      <w:start w:val="1"/>
      <w:numFmt w:val="bullet"/>
      <w:lvlText w:val="o"/>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21EE3228">
      <w:start w:val="1"/>
      <w:numFmt w:val="bullet"/>
      <w:lvlText w:val="▪"/>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373A74F6"/>
    <w:multiLevelType w:val="multilevel"/>
    <w:tmpl w:val="8F702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8CB7FDF"/>
    <w:multiLevelType w:val="hybridMultilevel"/>
    <w:tmpl w:val="C37C0AE8"/>
    <w:lvl w:ilvl="0" w:tplc="E3385658">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4620F24">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500B988">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E48FB60">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2FA0DD0">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5E66CAC">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56AD0CE">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988C5FE">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37E16E0">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9" w15:restartNumberingAfterBreak="0">
    <w:nsid w:val="3B04553D"/>
    <w:multiLevelType w:val="hybridMultilevel"/>
    <w:tmpl w:val="0D469DD0"/>
    <w:lvl w:ilvl="0" w:tplc="B30A0090">
      <w:start w:val="1"/>
      <w:numFmt w:val="decimal"/>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0" w15:restartNumberingAfterBreak="0">
    <w:nsid w:val="3BE634C5"/>
    <w:multiLevelType w:val="hybridMultilevel"/>
    <w:tmpl w:val="352AE208"/>
    <w:lvl w:ilvl="0" w:tplc="FFF27C50">
      <w:start w:val="1"/>
      <w:numFmt w:val="bullet"/>
      <w:lvlText w:val="•"/>
      <w:lvlJc w:val="left"/>
      <w:pPr>
        <w:ind w:left="560" w:hanging="300"/>
      </w:pPr>
    </w:lvl>
    <w:lvl w:ilvl="1" w:tplc="93B89162">
      <w:numFmt w:val="decimal"/>
      <w:lvlText w:val=""/>
      <w:lvlJc w:val="left"/>
      <w:pPr>
        <w:ind w:left="0" w:firstLine="0"/>
      </w:pPr>
    </w:lvl>
    <w:lvl w:ilvl="2" w:tplc="CA360610">
      <w:numFmt w:val="decimal"/>
      <w:lvlText w:val=""/>
      <w:lvlJc w:val="left"/>
      <w:pPr>
        <w:ind w:left="0" w:firstLine="0"/>
      </w:pPr>
    </w:lvl>
    <w:lvl w:ilvl="3" w:tplc="149E42E6">
      <w:numFmt w:val="decimal"/>
      <w:lvlText w:val=""/>
      <w:lvlJc w:val="left"/>
      <w:pPr>
        <w:ind w:left="0" w:firstLine="0"/>
      </w:pPr>
    </w:lvl>
    <w:lvl w:ilvl="4" w:tplc="BD142D66">
      <w:numFmt w:val="decimal"/>
      <w:lvlText w:val=""/>
      <w:lvlJc w:val="left"/>
      <w:pPr>
        <w:ind w:left="0" w:firstLine="0"/>
      </w:pPr>
    </w:lvl>
    <w:lvl w:ilvl="5" w:tplc="F87C4EE0">
      <w:numFmt w:val="decimal"/>
      <w:lvlText w:val=""/>
      <w:lvlJc w:val="left"/>
      <w:pPr>
        <w:ind w:left="0" w:firstLine="0"/>
      </w:pPr>
    </w:lvl>
    <w:lvl w:ilvl="6" w:tplc="75607126">
      <w:numFmt w:val="decimal"/>
      <w:lvlText w:val=""/>
      <w:lvlJc w:val="left"/>
      <w:pPr>
        <w:ind w:left="0" w:firstLine="0"/>
      </w:pPr>
    </w:lvl>
    <w:lvl w:ilvl="7" w:tplc="53266BE2">
      <w:numFmt w:val="decimal"/>
      <w:lvlText w:val=""/>
      <w:lvlJc w:val="left"/>
      <w:pPr>
        <w:ind w:left="0" w:firstLine="0"/>
      </w:pPr>
    </w:lvl>
    <w:lvl w:ilvl="8" w:tplc="59FC69EA">
      <w:numFmt w:val="decimal"/>
      <w:lvlText w:val=""/>
      <w:lvlJc w:val="left"/>
      <w:pPr>
        <w:ind w:left="0" w:firstLine="0"/>
      </w:pPr>
    </w:lvl>
  </w:abstractNum>
  <w:abstractNum w:abstractNumId="41" w15:restartNumberingAfterBreak="0">
    <w:nsid w:val="3C7773E1"/>
    <w:multiLevelType w:val="hybridMultilevel"/>
    <w:tmpl w:val="92F89A30"/>
    <w:lvl w:ilvl="0" w:tplc="A6AA5160">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F8CB8D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6C0D84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EEF283C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CDAC562">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6386D36">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35E34F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1AA081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0826674">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3CCC121E"/>
    <w:multiLevelType w:val="hybridMultilevel"/>
    <w:tmpl w:val="9C54D502"/>
    <w:lvl w:ilvl="0" w:tplc="667AC072">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4D47C66">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8FE83D6">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848A308">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87E0056">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D609BE2">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3DE1292">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D29704">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D461CC8">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3" w15:restartNumberingAfterBreak="0">
    <w:nsid w:val="3F0C7965"/>
    <w:multiLevelType w:val="hybridMultilevel"/>
    <w:tmpl w:val="D4B833A8"/>
    <w:lvl w:ilvl="0" w:tplc="2056F194">
      <w:start w:val="1"/>
      <w:numFmt w:val="bullet"/>
      <w:lvlText w:val="•"/>
      <w:lvlJc w:val="left"/>
      <w:pPr>
        <w:ind w:left="560" w:hanging="300"/>
      </w:pPr>
    </w:lvl>
    <w:lvl w:ilvl="1" w:tplc="3EE8C4E2">
      <w:numFmt w:val="decimal"/>
      <w:lvlText w:val=""/>
      <w:lvlJc w:val="left"/>
      <w:pPr>
        <w:ind w:left="0" w:firstLine="0"/>
      </w:pPr>
    </w:lvl>
    <w:lvl w:ilvl="2" w:tplc="B9B6006C">
      <w:numFmt w:val="decimal"/>
      <w:lvlText w:val=""/>
      <w:lvlJc w:val="left"/>
      <w:pPr>
        <w:ind w:left="0" w:firstLine="0"/>
      </w:pPr>
    </w:lvl>
    <w:lvl w:ilvl="3" w:tplc="AFC22BFC">
      <w:numFmt w:val="decimal"/>
      <w:lvlText w:val=""/>
      <w:lvlJc w:val="left"/>
      <w:pPr>
        <w:ind w:left="0" w:firstLine="0"/>
      </w:pPr>
    </w:lvl>
    <w:lvl w:ilvl="4" w:tplc="D9AC3270">
      <w:numFmt w:val="decimal"/>
      <w:lvlText w:val=""/>
      <w:lvlJc w:val="left"/>
      <w:pPr>
        <w:ind w:left="0" w:firstLine="0"/>
      </w:pPr>
    </w:lvl>
    <w:lvl w:ilvl="5" w:tplc="56D245AA">
      <w:numFmt w:val="decimal"/>
      <w:lvlText w:val=""/>
      <w:lvlJc w:val="left"/>
      <w:pPr>
        <w:ind w:left="0" w:firstLine="0"/>
      </w:pPr>
    </w:lvl>
    <w:lvl w:ilvl="6" w:tplc="D71E1FAE">
      <w:numFmt w:val="decimal"/>
      <w:lvlText w:val=""/>
      <w:lvlJc w:val="left"/>
      <w:pPr>
        <w:ind w:left="0" w:firstLine="0"/>
      </w:pPr>
    </w:lvl>
    <w:lvl w:ilvl="7" w:tplc="AF944506">
      <w:numFmt w:val="decimal"/>
      <w:lvlText w:val=""/>
      <w:lvlJc w:val="left"/>
      <w:pPr>
        <w:ind w:left="0" w:firstLine="0"/>
      </w:pPr>
    </w:lvl>
    <w:lvl w:ilvl="8" w:tplc="8A3EDF30">
      <w:numFmt w:val="decimal"/>
      <w:lvlText w:val=""/>
      <w:lvlJc w:val="left"/>
      <w:pPr>
        <w:ind w:left="0" w:firstLine="0"/>
      </w:pPr>
    </w:lvl>
  </w:abstractNum>
  <w:abstractNum w:abstractNumId="44" w15:restartNumberingAfterBreak="0">
    <w:nsid w:val="42613806"/>
    <w:multiLevelType w:val="hybridMultilevel"/>
    <w:tmpl w:val="186C5D8C"/>
    <w:lvl w:ilvl="0" w:tplc="2FEE1F28">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DD43150">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62CE684">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9D4490A">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02E9926">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8722FC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70E5B3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9AA09E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1B66FC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5" w15:restartNumberingAfterBreak="0">
    <w:nsid w:val="42F86BD1"/>
    <w:multiLevelType w:val="hybridMultilevel"/>
    <w:tmpl w:val="D8D88324"/>
    <w:lvl w:ilvl="0" w:tplc="71C068E8">
      <w:start w:val="1"/>
      <w:numFmt w:val="bullet"/>
      <w:lvlText w:val="•"/>
      <w:lvlJc w:val="left"/>
      <w:pPr>
        <w:ind w:left="560" w:hanging="300"/>
      </w:pPr>
    </w:lvl>
    <w:lvl w:ilvl="1" w:tplc="11426202">
      <w:numFmt w:val="decimal"/>
      <w:lvlText w:val=""/>
      <w:lvlJc w:val="left"/>
      <w:pPr>
        <w:ind w:left="0" w:firstLine="0"/>
      </w:pPr>
    </w:lvl>
    <w:lvl w:ilvl="2" w:tplc="71DA19FA">
      <w:numFmt w:val="decimal"/>
      <w:lvlText w:val=""/>
      <w:lvlJc w:val="left"/>
      <w:pPr>
        <w:ind w:left="0" w:firstLine="0"/>
      </w:pPr>
    </w:lvl>
    <w:lvl w:ilvl="3" w:tplc="CB5E7D36">
      <w:numFmt w:val="decimal"/>
      <w:lvlText w:val=""/>
      <w:lvlJc w:val="left"/>
      <w:pPr>
        <w:ind w:left="0" w:firstLine="0"/>
      </w:pPr>
    </w:lvl>
    <w:lvl w:ilvl="4" w:tplc="E282376C">
      <w:numFmt w:val="decimal"/>
      <w:lvlText w:val=""/>
      <w:lvlJc w:val="left"/>
      <w:pPr>
        <w:ind w:left="0" w:firstLine="0"/>
      </w:pPr>
    </w:lvl>
    <w:lvl w:ilvl="5" w:tplc="AB52D316">
      <w:numFmt w:val="decimal"/>
      <w:lvlText w:val=""/>
      <w:lvlJc w:val="left"/>
      <w:pPr>
        <w:ind w:left="0" w:firstLine="0"/>
      </w:pPr>
    </w:lvl>
    <w:lvl w:ilvl="6" w:tplc="69321FEE">
      <w:numFmt w:val="decimal"/>
      <w:lvlText w:val=""/>
      <w:lvlJc w:val="left"/>
      <w:pPr>
        <w:ind w:left="0" w:firstLine="0"/>
      </w:pPr>
    </w:lvl>
    <w:lvl w:ilvl="7" w:tplc="48822846">
      <w:numFmt w:val="decimal"/>
      <w:lvlText w:val=""/>
      <w:lvlJc w:val="left"/>
      <w:pPr>
        <w:ind w:left="0" w:firstLine="0"/>
      </w:pPr>
    </w:lvl>
    <w:lvl w:ilvl="8" w:tplc="69F2EC92">
      <w:numFmt w:val="decimal"/>
      <w:lvlText w:val=""/>
      <w:lvlJc w:val="left"/>
      <w:pPr>
        <w:ind w:left="0" w:firstLine="0"/>
      </w:pPr>
    </w:lvl>
  </w:abstractNum>
  <w:abstractNum w:abstractNumId="46" w15:restartNumberingAfterBreak="0">
    <w:nsid w:val="43612F97"/>
    <w:multiLevelType w:val="hybridMultilevel"/>
    <w:tmpl w:val="D9203AA0"/>
    <w:lvl w:ilvl="0" w:tplc="974E363A">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9F20816">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460CB04">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F3E7604">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DAC00B2">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2FA3B12">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FB890E6">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E3CE080">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13EB5BA">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7" w15:restartNumberingAfterBreak="0">
    <w:nsid w:val="439034B6"/>
    <w:multiLevelType w:val="hybridMultilevel"/>
    <w:tmpl w:val="E5E4214C"/>
    <w:lvl w:ilvl="0" w:tplc="AF888F5C">
      <w:start w:val="1"/>
      <w:numFmt w:val="bullet"/>
      <w:lvlText w:val="•"/>
      <w:lvlJc w:val="left"/>
      <w:pPr>
        <w:ind w:left="282"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1" w:tplc="5AA00A50">
      <w:start w:val="1"/>
      <w:numFmt w:val="bullet"/>
      <w:lvlText w:val="o"/>
      <w:lvlJc w:val="left"/>
      <w:pPr>
        <w:ind w:left="10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2" w:tplc="DACC5C56">
      <w:start w:val="1"/>
      <w:numFmt w:val="bullet"/>
      <w:lvlText w:val="▪"/>
      <w:lvlJc w:val="left"/>
      <w:pPr>
        <w:ind w:left="18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3" w:tplc="CF348684">
      <w:start w:val="1"/>
      <w:numFmt w:val="bullet"/>
      <w:lvlText w:val="•"/>
      <w:lvlJc w:val="left"/>
      <w:pPr>
        <w:ind w:left="25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4" w:tplc="E17E6294">
      <w:start w:val="1"/>
      <w:numFmt w:val="bullet"/>
      <w:lvlText w:val="o"/>
      <w:lvlJc w:val="left"/>
      <w:pPr>
        <w:ind w:left="324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5" w:tplc="4064B692">
      <w:start w:val="1"/>
      <w:numFmt w:val="bullet"/>
      <w:lvlText w:val="▪"/>
      <w:lvlJc w:val="left"/>
      <w:pPr>
        <w:ind w:left="396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6" w:tplc="937C7DAA">
      <w:start w:val="1"/>
      <w:numFmt w:val="bullet"/>
      <w:lvlText w:val="•"/>
      <w:lvlJc w:val="left"/>
      <w:pPr>
        <w:ind w:left="46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7" w:tplc="42A4EFF4">
      <w:start w:val="1"/>
      <w:numFmt w:val="bullet"/>
      <w:lvlText w:val="o"/>
      <w:lvlJc w:val="left"/>
      <w:pPr>
        <w:ind w:left="54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8" w:tplc="0C580A84">
      <w:start w:val="1"/>
      <w:numFmt w:val="bullet"/>
      <w:lvlText w:val="▪"/>
      <w:lvlJc w:val="left"/>
      <w:pPr>
        <w:ind w:left="61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abstractNum>
  <w:abstractNum w:abstractNumId="48" w15:restartNumberingAfterBreak="0">
    <w:nsid w:val="45DF44E7"/>
    <w:multiLevelType w:val="hybridMultilevel"/>
    <w:tmpl w:val="2BD2A1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9" w15:restartNumberingAfterBreak="0">
    <w:nsid w:val="460F630A"/>
    <w:multiLevelType w:val="hybridMultilevel"/>
    <w:tmpl w:val="56D6C5F4"/>
    <w:lvl w:ilvl="0" w:tplc="AF0C129A">
      <w:start w:val="1"/>
      <w:numFmt w:val="decimal"/>
      <w:lvlText w:val="%1."/>
      <w:lvlJc w:val="left"/>
      <w:pPr>
        <w:ind w:left="7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B04B386">
      <w:start w:val="1"/>
      <w:numFmt w:val="lowerLetter"/>
      <w:lvlText w:val="%2"/>
      <w:lvlJc w:val="left"/>
      <w:pPr>
        <w:ind w:left="15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438897E">
      <w:start w:val="1"/>
      <w:numFmt w:val="lowerRoman"/>
      <w:lvlText w:val="%3"/>
      <w:lvlJc w:val="left"/>
      <w:pPr>
        <w:ind w:left="22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EF46D12">
      <w:start w:val="1"/>
      <w:numFmt w:val="decimal"/>
      <w:lvlText w:val="%4"/>
      <w:lvlJc w:val="left"/>
      <w:pPr>
        <w:ind w:left="29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D7A2FFE">
      <w:start w:val="1"/>
      <w:numFmt w:val="lowerLetter"/>
      <w:lvlText w:val="%5"/>
      <w:lvlJc w:val="left"/>
      <w:pPr>
        <w:ind w:left="36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13204C6">
      <w:start w:val="1"/>
      <w:numFmt w:val="lowerRoman"/>
      <w:lvlText w:val="%6"/>
      <w:lvlJc w:val="left"/>
      <w:pPr>
        <w:ind w:left="43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6BDA1A2A">
      <w:start w:val="1"/>
      <w:numFmt w:val="decimal"/>
      <w:lvlText w:val="%7"/>
      <w:lvlJc w:val="left"/>
      <w:pPr>
        <w:ind w:left="51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0FE65EC">
      <w:start w:val="1"/>
      <w:numFmt w:val="lowerLetter"/>
      <w:lvlText w:val="%8"/>
      <w:lvlJc w:val="left"/>
      <w:pPr>
        <w:ind w:left="58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168B6B6">
      <w:start w:val="1"/>
      <w:numFmt w:val="lowerRoman"/>
      <w:lvlText w:val="%9"/>
      <w:lvlJc w:val="left"/>
      <w:pPr>
        <w:ind w:left="65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0" w15:restartNumberingAfterBreak="0">
    <w:nsid w:val="46E75186"/>
    <w:multiLevelType w:val="hybridMultilevel"/>
    <w:tmpl w:val="9F32B708"/>
    <w:lvl w:ilvl="0" w:tplc="4ED24860">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93C96DA">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5809326">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CFE880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E6A500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2B80250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6E40C84">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C540B1E">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ECEEFB2A">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1" w15:restartNumberingAfterBreak="0">
    <w:nsid w:val="46FA2167"/>
    <w:multiLevelType w:val="hybridMultilevel"/>
    <w:tmpl w:val="5E86BDC6"/>
    <w:lvl w:ilvl="0" w:tplc="F7B20610">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86C2188">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9E2A9C6">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5F44298">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8FAEC0A">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0D62E66">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B76A6A6">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DF87A94">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C52F2BE">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2" w15:restartNumberingAfterBreak="0">
    <w:nsid w:val="49A63BE6"/>
    <w:multiLevelType w:val="hybridMultilevel"/>
    <w:tmpl w:val="D93EBF8A"/>
    <w:lvl w:ilvl="0" w:tplc="8FF06608">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B4AAD4E">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1D8B62E">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462CA8C">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AFE3058">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068D8A8">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A3C2920">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53CC290">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1485D04">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3" w15:restartNumberingAfterBreak="0">
    <w:nsid w:val="4B4A1880"/>
    <w:multiLevelType w:val="hybridMultilevel"/>
    <w:tmpl w:val="0C2A2A4C"/>
    <w:lvl w:ilvl="0" w:tplc="1774133C">
      <w:start w:val="1"/>
      <w:numFmt w:val="decimal"/>
      <w:lvlText w:val="%1."/>
      <w:lvlJc w:val="left"/>
      <w:pPr>
        <w:ind w:left="7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78A080E">
      <w:start w:val="1"/>
      <w:numFmt w:val="lowerLetter"/>
      <w:lvlText w:val="%2"/>
      <w:lvlJc w:val="left"/>
      <w:pPr>
        <w:ind w:left="15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56103FC0">
      <w:start w:val="1"/>
      <w:numFmt w:val="lowerRoman"/>
      <w:lvlText w:val="%3"/>
      <w:lvlJc w:val="left"/>
      <w:pPr>
        <w:ind w:left="22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30708FAA">
      <w:start w:val="1"/>
      <w:numFmt w:val="decimal"/>
      <w:lvlText w:val="%4"/>
      <w:lvlJc w:val="left"/>
      <w:pPr>
        <w:ind w:left="29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A22D852">
      <w:start w:val="1"/>
      <w:numFmt w:val="lowerLetter"/>
      <w:lvlText w:val="%5"/>
      <w:lvlJc w:val="left"/>
      <w:pPr>
        <w:ind w:left="36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87837DE">
      <w:start w:val="1"/>
      <w:numFmt w:val="lowerRoman"/>
      <w:lvlText w:val="%6"/>
      <w:lvlJc w:val="left"/>
      <w:pPr>
        <w:ind w:left="43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BBE141C">
      <w:start w:val="1"/>
      <w:numFmt w:val="decimal"/>
      <w:lvlText w:val="%7"/>
      <w:lvlJc w:val="left"/>
      <w:pPr>
        <w:ind w:left="51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A66CDCE">
      <w:start w:val="1"/>
      <w:numFmt w:val="lowerLetter"/>
      <w:lvlText w:val="%8"/>
      <w:lvlJc w:val="left"/>
      <w:pPr>
        <w:ind w:left="58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0C6C102E">
      <w:start w:val="1"/>
      <w:numFmt w:val="lowerRoman"/>
      <w:lvlText w:val="%9"/>
      <w:lvlJc w:val="left"/>
      <w:pPr>
        <w:ind w:left="65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4" w15:restartNumberingAfterBreak="0">
    <w:nsid w:val="4B541262"/>
    <w:multiLevelType w:val="hybridMultilevel"/>
    <w:tmpl w:val="F68E5340"/>
    <w:lvl w:ilvl="0" w:tplc="437C4E4A">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A5CAC96">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56AC00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1F4423A">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88AE0D4">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6D42E70">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6CAF71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8ACA11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CCA8DA5A">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5" w15:restartNumberingAfterBreak="0">
    <w:nsid w:val="4C644C89"/>
    <w:multiLevelType w:val="multilevel"/>
    <w:tmpl w:val="BBBCAC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501D219B"/>
    <w:multiLevelType w:val="hybridMultilevel"/>
    <w:tmpl w:val="2B6424C4"/>
    <w:lvl w:ilvl="0" w:tplc="FAB8F818">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6F2D998">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B92EF7E">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3EF25C7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B847F6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DEC89D0">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558C469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364B200">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40E88A2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7" w15:restartNumberingAfterBreak="0">
    <w:nsid w:val="50267C0C"/>
    <w:multiLevelType w:val="hybridMultilevel"/>
    <w:tmpl w:val="494AEAEC"/>
    <w:lvl w:ilvl="0" w:tplc="F460B868">
      <w:start w:val="1"/>
      <w:numFmt w:val="bullet"/>
      <w:lvlText w:val="•"/>
      <w:lvlJc w:val="left"/>
      <w:pPr>
        <w:ind w:left="560" w:hanging="300"/>
      </w:pPr>
    </w:lvl>
    <w:lvl w:ilvl="1" w:tplc="25B86F10">
      <w:numFmt w:val="decimal"/>
      <w:lvlText w:val=""/>
      <w:lvlJc w:val="left"/>
      <w:pPr>
        <w:ind w:left="0" w:firstLine="0"/>
      </w:pPr>
    </w:lvl>
    <w:lvl w:ilvl="2" w:tplc="1D14F0C6">
      <w:numFmt w:val="decimal"/>
      <w:lvlText w:val=""/>
      <w:lvlJc w:val="left"/>
      <w:pPr>
        <w:ind w:left="0" w:firstLine="0"/>
      </w:pPr>
    </w:lvl>
    <w:lvl w:ilvl="3" w:tplc="9DD8FB3A">
      <w:numFmt w:val="decimal"/>
      <w:lvlText w:val=""/>
      <w:lvlJc w:val="left"/>
      <w:pPr>
        <w:ind w:left="0" w:firstLine="0"/>
      </w:pPr>
    </w:lvl>
    <w:lvl w:ilvl="4" w:tplc="6A1AE9B6">
      <w:numFmt w:val="decimal"/>
      <w:lvlText w:val=""/>
      <w:lvlJc w:val="left"/>
      <w:pPr>
        <w:ind w:left="0" w:firstLine="0"/>
      </w:pPr>
    </w:lvl>
    <w:lvl w:ilvl="5" w:tplc="A05C6E1C">
      <w:numFmt w:val="decimal"/>
      <w:lvlText w:val=""/>
      <w:lvlJc w:val="left"/>
      <w:pPr>
        <w:ind w:left="0" w:firstLine="0"/>
      </w:pPr>
    </w:lvl>
    <w:lvl w:ilvl="6" w:tplc="8E0CF872">
      <w:numFmt w:val="decimal"/>
      <w:lvlText w:val=""/>
      <w:lvlJc w:val="left"/>
      <w:pPr>
        <w:ind w:left="0" w:firstLine="0"/>
      </w:pPr>
    </w:lvl>
    <w:lvl w:ilvl="7" w:tplc="B9383780">
      <w:numFmt w:val="decimal"/>
      <w:lvlText w:val=""/>
      <w:lvlJc w:val="left"/>
      <w:pPr>
        <w:ind w:left="0" w:firstLine="0"/>
      </w:pPr>
    </w:lvl>
    <w:lvl w:ilvl="8" w:tplc="AAA88FFA">
      <w:numFmt w:val="decimal"/>
      <w:lvlText w:val=""/>
      <w:lvlJc w:val="left"/>
      <w:pPr>
        <w:ind w:left="0" w:firstLine="0"/>
      </w:pPr>
    </w:lvl>
  </w:abstractNum>
  <w:abstractNum w:abstractNumId="58" w15:restartNumberingAfterBreak="0">
    <w:nsid w:val="520554D2"/>
    <w:multiLevelType w:val="hybridMultilevel"/>
    <w:tmpl w:val="DBBC7BAC"/>
    <w:lvl w:ilvl="0" w:tplc="E0B06B36">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71A5F7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5E58B746">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9392EE3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3F08F94">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5C65E8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E3C7F7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6B66FB2">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C68F9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9" w15:restartNumberingAfterBreak="0">
    <w:nsid w:val="52F141A3"/>
    <w:multiLevelType w:val="hybridMultilevel"/>
    <w:tmpl w:val="73E824C6"/>
    <w:lvl w:ilvl="0" w:tplc="4CC6E1B0">
      <w:start w:val="1"/>
      <w:numFmt w:val="bullet"/>
      <w:lvlText w:val="•"/>
      <w:lvlJc w:val="left"/>
      <w:pPr>
        <w:ind w:left="560" w:hanging="300"/>
      </w:pPr>
    </w:lvl>
    <w:lvl w:ilvl="1" w:tplc="A148F4A8">
      <w:numFmt w:val="decimal"/>
      <w:lvlText w:val=""/>
      <w:lvlJc w:val="left"/>
      <w:pPr>
        <w:ind w:left="0" w:firstLine="0"/>
      </w:pPr>
    </w:lvl>
    <w:lvl w:ilvl="2" w:tplc="63E848CA">
      <w:numFmt w:val="decimal"/>
      <w:lvlText w:val=""/>
      <w:lvlJc w:val="left"/>
      <w:pPr>
        <w:ind w:left="0" w:firstLine="0"/>
      </w:pPr>
    </w:lvl>
    <w:lvl w:ilvl="3" w:tplc="F6281E10">
      <w:numFmt w:val="decimal"/>
      <w:lvlText w:val=""/>
      <w:lvlJc w:val="left"/>
      <w:pPr>
        <w:ind w:left="0" w:firstLine="0"/>
      </w:pPr>
    </w:lvl>
    <w:lvl w:ilvl="4" w:tplc="8B0826E2">
      <w:numFmt w:val="decimal"/>
      <w:lvlText w:val=""/>
      <w:lvlJc w:val="left"/>
      <w:pPr>
        <w:ind w:left="0" w:firstLine="0"/>
      </w:pPr>
    </w:lvl>
    <w:lvl w:ilvl="5" w:tplc="18D06278">
      <w:numFmt w:val="decimal"/>
      <w:lvlText w:val=""/>
      <w:lvlJc w:val="left"/>
      <w:pPr>
        <w:ind w:left="0" w:firstLine="0"/>
      </w:pPr>
    </w:lvl>
    <w:lvl w:ilvl="6" w:tplc="06986D7C">
      <w:numFmt w:val="decimal"/>
      <w:lvlText w:val=""/>
      <w:lvlJc w:val="left"/>
      <w:pPr>
        <w:ind w:left="0" w:firstLine="0"/>
      </w:pPr>
    </w:lvl>
    <w:lvl w:ilvl="7" w:tplc="B83430A6">
      <w:numFmt w:val="decimal"/>
      <w:lvlText w:val=""/>
      <w:lvlJc w:val="left"/>
      <w:pPr>
        <w:ind w:left="0" w:firstLine="0"/>
      </w:pPr>
    </w:lvl>
    <w:lvl w:ilvl="8" w:tplc="BFBABE2A">
      <w:numFmt w:val="decimal"/>
      <w:lvlText w:val=""/>
      <w:lvlJc w:val="left"/>
      <w:pPr>
        <w:ind w:left="0" w:firstLine="0"/>
      </w:pPr>
    </w:lvl>
  </w:abstractNum>
  <w:abstractNum w:abstractNumId="60" w15:restartNumberingAfterBreak="0">
    <w:nsid w:val="542675A2"/>
    <w:multiLevelType w:val="hybridMultilevel"/>
    <w:tmpl w:val="7FB4C0D0"/>
    <w:lvl w:ilvl="0" w:tplc="A62EAA2A">
      <w:start w:val="1"/>
      <w:numFmt w:val="bullet"/>
      <w:lvlText w:val="•"/>
      <w:lvlJc w:val="left"/>
      <w:pPr>
        <w:ind w:left="28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B1742D00">
      <w:start w:val="1"/>
      <w:numFmt w:val="bullet"/>
      <w:lvlText w:val="o"/>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0C626A0">
      <w:start w:val="1"/>
      <w:numFmt w:val="bullet"/>
      <w:lvlText w:val="▪"/>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417EEEF4">
      <w:start w:val="1"/>
      <w:numFmt w:val="bullet"/>
      <w:lvlText w:val="•"/>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A5320264">
      <w:start w:val="1"/>
      <w:numFmt w:val="bullet"/>
      <w:lvlText w:val="o"/>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1966A656">
      <w:start w:val="1"/>
      <w:numFmt w:val="bullet"/>
      <w:lvlText w:val="▪"/>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DA66F860">
      <w:start w:val="1"/>
      <w:numFmt w:val="bullet"/>
      <w:lvlText w:val="•"/>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215E726E">
      <w:start w:val="1"/>
      <w:numFmt w:val="bullet"/>
      <w:lvlText w:val="o"/>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6A2A5A66">
      <w:start w:val="1"/>
      <w:numFmt w:val="bullet"/>
      <w:lvlText w:val="▪"/>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1" w15:restartNumberingAfterBreak="0">
    <w:nsid w:val="551F3F2F"/>
    <w:multiLevelType w:val="hybridMultilevel"/>
    <w:tmpl w:val="FD2AD8FA"/>
    <w:lvl w:ilvl="0" w:tplc="88C449F8">
      <w:start w:val="1"/>
      <w:numFmt w:val="bullet"/>
      <w:lvlText w:val="•"/>
      <w:lvlJc w:val="left"/>
      <w:pPr>
        <w:ind w:left="282"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1" w:tplc="3ED4A024">
      <w:start w:val="1"/>
      <w:numFmt w:val="bullet"/>
      <w:lvlText w:val="o"/>
      <w:lvlJc w:val="left"/>
      <w:pPr>
        <w:ind w:left="10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2" w:tplc="16E814EC">
      <w:start w:val="1"/>
      <w:numFmt w:val="bullet"/>
      <w:lvlText w:val="▪"/>
      <w:lvlJc w:val="left"/>
      <w:pPr>
        <w:ind w:left="18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3" w:tplc="F9304064">
      <w:start w:val="1"/>
      <w:numFmt w:val="bullet"/>
      <w:lvlText w:val="•"/>
      <w:lvlJc w:val="left"/>
      <w:pPr>
        <w:ind w:left="25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4" w:tplc="CFD6B96C">
      <w:start w:val="1"/>
      <w:numFmt w:val="bullet"/>
      <w:lvlText w:val="o"/>
      <w:lvlJc w:val="left"/>
      <w:pPr>
        <w:ind w:left="324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5" w:tplc="E39A16C0">
      <w:start w:val="1"/>
      <w:numFmt w:val="bullet"/>
      <w:lvlText w:val="▪"/>
      <w:lvlJc w:val="left"/>
      <w:pPr>
        <w:ind w:left="396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6" w:tplc="37485662">
      <w:start w:val="1"/>
      <w:numFmt w:val="bullet"/>
      <w:lvlText w:val="•"/>
      <w:lvlJc w:val="left"/>
      <w:pPr>
        <w:ind w:left="46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7" w:tplc="7526D404">
      <w:start w:val="1"/>
      <w:numFmt w:val="bullet"/>
      <w:lvlText w:val="o"/>
      <w:lvlJc w:val="left"/>
      <w:pPr>
        <w:ind w:left="54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8" w:tplc="42F41410">
      <w:start w:val="1"/>
      <w:numFmt w:val="bullet"/>
      <w:lvlText w:val="▪"/>
      <w:lvlJc w:val="left"/>
      <w:pPr>
        <w:ind w:left="61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abstractNum>
  <w:abstractNum w:abstractNumId="62" w15:restartNumberingAfterBreak="0">
    <w:nsid w:val="55282E3A"/>
    <w:multiLevelType w:val="hybridMultilevel"/>
    <w:tmpl w:val="B4CA2D76"/>
    <w:lvl w:ilvl="0" w:tplc="836AE0CE">
      <w:start w:val="1"/>
      <w:numFmt w:val="decimal"/>
      <w:lvlText w:val="%1."/>
      <w:lvlJc w:val="left"/>
      <w:pPr>
        <w:ind w:left="7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8AED7A0">
      <w:start w:val="1"/>
      <w:numFmt w:val="lowerLetter"/>
      <w:lvlText w:val="%2"/>
      <w:lvlJc w:val="left"/>
      <w:pPr>
        <w:ind w:left="15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C11005FA">
      <w:start w:val="1"/>
      <w:numFmt w:val="lowerRoman"/>
      <w:lvlText w:val="%3"/>
      <w:lvlJc w:val="left"/>
      <w:pPr>
        <w:ind w:left="22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CAADD6E">
      <w:start w:val="1"/>
      <w:numFmt w:val="decimal"/>
      <w:lvlText w:val="%4"/>
      <w:lvlJc w:val="left"/>
      <w:pPr>
        <w:ind w:left="29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A467580">
      <w:start w:val="1"/>
      <w:numFmt w:val="lowerLetter"/>
      <w:lvlText w:val="%5"/>
      <w:lvlJc w:val="left"/>
      <w:pPr>
        <w:ind w:left="36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15FE1374">
      <w:start w:val="1"/>
      <w:numFmt w:val="lowerRoman"/>
      <w:lvlText w:val="%6"/>
      <w:lvlJc w:val="left"/>
      <w:pPr>
        <w:ind w:left="43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C6AE929E">
      <w:start w:val="1"/>
      <w:numFmt w:val="decimal"/>
      <w:lvlText w:val="%7"/>
      <w:lvlJc w:val="left"/>
      <w:pPr>
        <w:ind w:left="51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50EA6E2">
      <w:start w:val="1"/>
      <w:numFmt w:val="lowerLetter"/>
      <w:lvlText w:val="%8"/>
      <w:lvlJc w:val="left"/>
      <w:pPr>
        <w:ind w:left="58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C8B42752">
      <w:start w:val="1"/>
      <w:numFmt w:val="lowerRoman"/>
      <w:lvlText w:val="%9"/>
      <w:lvlJc w:val="left"/>
      <w:pPr>
        <w:ind w:left="65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3" w15:restartNumberingAfterBreak="0">
    <w:nsid w:val="55416660"/>
    <w:multiLevelType w:val="hybridMultilevel"/>
    <w:tmpl w:val="84BED696"/>
    <w:lvl w:ilvl="0" w:tplc="DA904D2E">
      <w:start w:val="1"/>
      <w:numFmt w:val="decimal"/>
      <w:lvlText w:val="%1."/>
      <w:lvlJc w:val="left"/>
      <w:pPr>
        <w:ind w:left="282"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1" w:tplc="6D48D3A0">
      <w:start w:val="1"/>
      <w:numFmt w:val="lowerLetter"/>
      <w:lvlText w:val="%2"/>
      <w:lvlJc w:val="left"/>
      <w:pPr>
        <w:ind w:left="108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2" w:tplc="33661998">
      <w:start w:val="1"/>
      <w:numFmt w:val="lowerRoman"/>
      <w:lvlText w:val="%3"/>
      <w:lvlJc w:val="left"/>
      <w:pPr>
        <w:ind w:left="180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3" w:tplc="42DEA444">
      <w:start w:val="1"/>
      <w:numFmt w:val="decimal"/>
      <w:lvlText w:val="%4"/>
      <w:lvlJc w:val="left"/>
      <w:pPr>
        <w:ind w:left="252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4" w:tplc="3132CECC">
      <w:start w:val="1"/>
      <w:numFmt w:val="lowerLetter"/>
      <w:lvlText w:val="%5"/>
      <w:lvlJc w:val="left"/>
      <w:pPr>
        <w:ind w:left="324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5" w:tplc="23A4B70C">
      <w:start w:val="1"/>
      <w:numFmt w:val="lowerRoman"/>
      <w:lvlText w:val="%6"/>
      <w:lvlJc w:val="left"/>
      <w:pPr>
        <w:ind w:left="396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6" w:tplc="D30E4B6A">
      <w:start w:val="1"/>
      <w:numFmt w:val="decimal"/>
      <w:lvlText w:val="%7"/>
      <w:lvlJc w:val="left"/>
      <w:pPr>
        <w:ind w:left="468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7" w:tplc="796E0E2C">
      <w:start w:val="1"/>
      <w:numFmt w:val="lowerLetter"/>
      <w:lvlText w:val="%8"/>
      <w:lvlJc w:val="left"/>
      <w:pPr>
        <w:ind w:left="540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8" w:tplc="2DB4A6D6">
      <w:start w:val="1"/>
      <w:numFmt w:val="lowerRoman"/>
      <w:lvlText w:val="%9"/>
      <w:lvlJc w:val="left"/>
      <w:pPr>
        <w:ind w:left="612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abstractNum>
  <w:abstractNum w:abstractNumId="64" w15:restartNumberingAfterBreak="0">
    <w:nsid w:val="57E073F0"/>
    <w:multiLevelType w:val="hybridMultilevel"/>
    <w:tmpl w:val="3C6661AE"/>
    <w:lvl w:ilvl="0" w:tplc="AD783F70">
      <w:start w:val="1"/>
      <w:numFmt w:val="bullet"/>
      <w:lvlText w:val="•"/>
      <w:lvlJc w:val="left"/>
      <w:pPr>
        <w:ind w:left="560" w:hanging="300"/>
      </w:pPr>
    </w:lvl>
    <w:lvl w:ilvl="1" w:tplc="FD9E42D4">
      <w:numFmt w:val="decimal"/>
      <w:lvlText w:val=""/>
      <w:lvlJc w:val="left"/>
      <w:pPr>
        <w:ind w:left="0" w:firstLine="0"/>
      </w:pPr>
    </w:lvl>
    <w:lvl w:ilvl="2" w:tplc="0E7C1084">
      <w:numFmt w:val="decimal"/>
      <w:lvlText w:val=""/>
      <w:lvlJc w:val="left"/>
      <w:pPr>
        <w:ind w:left="0" w:firstLine="0"/>
      </w:pPr>
    </w:lvl>
    <w:lvl w:ilvl="3" w:tplc="E0801A02">
      <w:numFmt w:val="decimal"/>
      <w:lvlText w:val=""/>
      <w:lvlJc w:val="left"/>
      <w:pPr>
        <w:ind w:left="0" w:firstLine="0"/>
      </w:pPr>
    </w:lvl>
    <w:lvl w:ilvl="4" w:tplc="10F4D224">
      <w:numFmt w:val="decimal"/>
      <w:lvlText w:val=""/>
      <w:lvlJc w:val="left"/>
      <w:pPr>
        <w:ind w:left="0" w:firstLine="0"/>
      </w:pPr>
    </w:lvl>
    <w:lvl w:ilvl="5" w:tplc="40BCEA30">
      <w:numFmt w:val="decimal"/>
      <w:lvlText w:val=""/>
      <w:lvlJc w:val="left"/>
      <w:pPr>
        <w:ind w:left="0" w:firstLine="0"/>
      </w:pPr>
    </w:lvl>
    <w:lvl w:ilvl="6" w:tplc="CDF0F77A">
      <w:numFmt w:val="decimal"/>
      <w:lvlText w:val=""/>
      <w:lvlJc w:val="left"/>
      <w:pPr>
        <w:ind w:left="0" w:firstLine="0"/>
      </w:pPr>
    </w:lvl>
    <w:lvl w:ilvl="7" w:tplc="87BEF814">
      <w:numFmt w:val="decimal"/>
      <w:lvlText w:val=""/>
      <w:lvlJc w:val="left"/>
      <w:pPr>
        <w:ind w:left="0" w:firstLine="0"/>
      </w:pPr>
    </w:lvl>
    <w:lvl w:ilvl="8" w:tplc="AC9EC550">
      <w:numFmt w:val="decimal"/>
      <w:lvlText w:val=""/>
      <w:lvlJc w:val="left"/>
      <w:pPr>
        <w:ind w:left="0" w:firstLine="0"/>
      </w:pPr>
    </w:lvl>
  </w:abstractNum>
  <w:abstractNum w:abstractNumId="65" w15:restartNumberingAfterBreak="0">
    <w:nsid w:val="59997C34"/>
    <w:multiLevelType w:val="hybridMultilevel"/>
    <w:tmpl w:val="45DA13D8"/>
    <w:lvl w:ilvl="0" w:tplc="BB506F42">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53CECF6">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3238FBD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C9E621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DDED2B4">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2AC7674">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0425FF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830BB42">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3E6F7BA">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6" w15:restartNumberingAfterBreak="0">
    <w:nsid w:val="5DD450F4"/>
    <w:multiLevelType w:val="hybridMultilevel"/>
    <w:tmpl w:val="BC0A6696"/>
    <w:lvl w:ilvl="0" w:tplc="FB64D43C">
      <w:start w:val="1"/>
      <w:numFmt w:val="bullet"/>
      <w:lvlText w:val="•"/>
      <w:lvlJc w:val="left"/>
      <w:pPr>
        <w:ind w:left="327"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1" w:tplc="B1769204">
      <w:start w:val="1"/>
      <w:numFmt w:val="bullet"/>
      <w:lvlText w:val="o"/>
      <w:lvlJc w:val="left"/>
      <w:pPr>
        <w:ind w:left="125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2" w:tplc="2398C294">
      <w:start w:val="1"/>
      <w:numFmt w:val="bullet"/>
      <w:lvlText w:val="▪"/>
      <w:lvlJc w:val="left"/>
      <w:pPr>
        <w:ind w:left="197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3" w:tplc="1A0CA996">
      <w:start w:val="1"/>
      <w:numFmt w:val="bullet"/>
      <w:lvlText w:val="•"/>
      <w:lvlJc w:val="left"/>
      <w:pPr>
        <w:ind w:left="269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4" w:tplc="8E7A7456">
      <w:start w:val="1"/>
      <w:numFmt w:val="bullet"/>
      <w:lvlText w:val="o"/>
      <w:lvlJc w:val="left"/>
      <w:pPr>
        <w:ind w:left="341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5" w:tplc="A72E1752">
      <w:start w:val="1"/>
      <w:numFmt w:val="bullet"/>
      <w:lvlText w:val="▪"/>
      <w:lvlJc w:val="left"/>
      <w:pPr>
        <w:ind w:left="413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6" w:tplc="122ED95A">
      <w:start w:val="1"/>
      <w:numFmt w:val="bullet"/>
      <w:lvlText w:val="•"/>
      <w:lvlJc w:val="left"/>
      <w:pPr>
        <w:ind w:left="485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7" w:tplc="EC727350">
      <w:start w:val="1"/>
      <w:numFmt w:val="bullet"/>
      <w:lvlText w:val="o"/>
      <w:lvlJc w:val="left"/>
      <w:pPr>
        <w:ind w:left="557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8" w:tplc="2F22B8C4">
      <w:start w:val="1"/>
      <w:numFmt w:val="bullet"/>
      <w:lvlText w:val="▪"/>
      <w:lvlJc w:val="left"/>
      <w:pPr>
        <w:ind w:left="629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abstractNum>
  <w:abstractNum w:abstractNumId="67" w15:restartNumberingAfterBreak="0">
    <w:nsid w:val="5FC379F8"/>
    <w:multiLevelType w:val="hybridMultilevel"/>
    <w:tmpl w:val="75606746"/>
    <w:lvl w:ilvl="0" w:tplc="6C3835C4">
      <w:start w:val="1"/>
      <w:numFmt w:val="bullet"/>
      <w:lvlText w:val="•"/>
      <w:lvlJc w:val="left"/>
      <w:pPr>
        <w:ind w:left="69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9CAF702">
      <w:start w:val="1"/>
      <w:numFmt w:val="bullet"/>
      <w:lvlText w:val="o"/>
      <w:lvlJc w:val="left"/>
      <w:pPr>
        <w:ind w:left="1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3A22536">
      <w:start w:val="1"/>
      <w:numFmt w:val="bullet"/>
      <w:lvlText w:val="▪"/>
      <w:lvlJc w:val="left"/>
      <w:pPr>
        <w:ind w:left="2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EE4EBF42">
      <w:start w:val="1"/>
      <w:numFmt w:val="bullet"/>
      <w:lvlText w:val="•"/>
      <w:lvlJc w:val="left"/>
      <w:pPr>
        <w:ind w:left="29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EE689DDC">
      <w:start w:val="1"/>
      <w:numFmt w:val="bullet"/>
      <w:lvlText w:val="o"/>
      <w:lvlJc w:val="left"/>
      <w:pPr>
        <w:ind w:left="36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42C1732">
      <w:start w:val="1"/>
      <w:numFmt w:val="bullet"/>
      <w:lvlText w:val="▪"/>
      <w:lvlJc w:val="left"/>
      <w:pPr>
        <w:ind w:left="43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B8EDB98">
      <w:start w:val="1"/>
      <w:numFmt w:val="bullet"/>
      <w:lvlText w:val="•"/>
      <w:lvlJc w:val="left"/>
      <w:pPr>
        <w:ind w:left="51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1212B9B4">
      <w:start w:val="1"/>
      <w:numFmt w:val="bullet"/>
      <w:lvlText w:val="o"/>
      <w:lvlJc w:val="left"/>
      <w:pPr>
        <w:ind w:left="58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F443570">
      <w:start w:val="1"/>
      <w:numFmt w:val="bullet"/>
      <w:lvlText w:val="▪"/>
      <w:lvlJc w:val="left"/>
      <w:pPr>
        <w:ind w:left="65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8" w15:restartNumberingAfterBreak="0">
    <w:nsid w:val="60446ED6"/>
    <w:multiLevelType w:val="hybridMultilevel"/>
    <w:tmpl w:val="8DC4FE3E"/>
    <w:lvl w:ilvl="0" w:tplc="16306E6C">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1DE944E">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54065E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73686C0">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82E9F14">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2FA5AEE">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F73E966E">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CE0D6EE">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B98B0A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9" w15:restartNumberingAfterBreak="0">
    <w:nsid w:val="60D879D4"/>
    <w:multiLevelType w:val="hybridMultilevel"/>
    <w:tmpl w:val="4D320A0A"/>
    <w:lvl w:ilvl="0" w:tplc="6D92DA80">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6B89868">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5020730">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BE4451A">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1BCE024">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4684AFC">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BC69298">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9E054AE">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0D0F0AE">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0" w15:restartNumberingAfterBreak="0">
    <w:nsid w:val="638234CE"/>
    <w:multiLevelType w:val="hybridMultilevel"/>
    <w:tmpl w:val="C9C8768E"/>
    <w:lvl w:ilvl="0" w:tplc="C144E8E4">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4C26B0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F8F0A7D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3E3609BA">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F025908">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22CA0518">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C2829DCA">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3F203A2">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C4208B24">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71" w15:restartNumberingAfterBreak="0">
    <w:nsid w:val="63E765B1"/>
    <w:multiLevelType w:val="hybridMultilevel"/>
    <w:tmpl w:val="F3EC4B64"/>
    <w:lvl w:ilvl="0" w:tplc="8D4E4B48">
      <w:start w:val="1"/>
      <w:numFmt w:val="bullet"/>
      <w:lvlText w:val="•"/>
      <w:lvlJc w:val="left"/>
      <w:pPr>
        <w:ind w:left="282"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1" w:tplc="7ABABD26">
      <w:start w:val="1"/>
      <w:numFmt w:val="bullet"/>
      <w:lvlText w:val="o"/>
      <w:lvlJc w:val="left"/>
      <w:pPr>
        <w:ind w:left="10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2" w:tplc="10888E06">
      <w:start w:val="1"/>
      <w:numFmt w:val="bullet"/>
      <w:lvlText w:val="▪"/>
      <w:lvlJc w:val="left"/>
      <w:pPr>
        <w:ind w:left="18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3" w:tplc="F650081C">
      <w:start w:val="1"/>
      <w:numFmt w:val="bullet"/>
      <w:lvlText w:val="•"/>
      <w:lvlJc w:val="left"/>
      <w:pPr>
        <w:ind w:left="25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4" w:tplc="877E9368">
      <w:start w:val="1"/>
      <w:numFmt w:val="bullet"/>
      <w:lvlText w:val="o"/>
      <w:lvlJc w:val="left"/>
      <w:pPr>
        <w:ind w:left="324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5" w:tplc="9280D630">
      <w:start w:val="1"/>
      <w:numFmt w:val="bullet"/>
      <w:lvlText w:val="▪"/>
      <w:lvlJc w:val="left"/>
      <w:pPr>
        <w:ind w:left="396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6" w:tplc="7814FFEE">
      <w:start w:val="1"/>
      <w:numFmt w:val="bullet"/>
      <w:lvlText w:val="•"/>
      <w:lvlJc w:val="left"/>
      <w:pPr>
        <w:ind w:left="46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7" w:tplc="E9FCF82C">
      <w:start w:val="1"/>
      <w:numFmt w:val="bullet"/>
      <w:lvlText w:val="o"/>
      <w:lvlJc w:val="left"/>
      <w:pPr>
        <w:ind w:left="54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8" w:tplc="79D44536">
      <w:start w:val="1"/>
      <w:numFmt w:val="bullet"/>
      <w:lvlText w:val="▪"/>
      <w:lvlJc w:val="left"/>
      <w:pPr>
        <w:ind w:left="61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abstractNum>
  <w:abstractNum w:abstractNumId="72" w15:restartNumberingAfterBreak="0">
    <w:nsid w:val="6589017D"/>
    <w:multiLevelType w:val="hybridMultilevel"/>
    <w:tmpl w:val="621C5C78"/>
    <w:lvl w:ilvl="0" w:tplc="E65E5F82">
      <w:start w:val="1"/>
      <w:numFmt w:val="decimal"/>
      <w:lvlText w:val="%1."/>
      <w:lvlJc w:val="left"/>
      <w:pPr>
        <w:ind w:left="7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9E24C12">
      <w:start w:val="1"/>
      <w:numFmt w:val="lowerLetter"/>
      <w:lvlText w:val="%2"/>
      <w:lvlJc w:val="left"/>
      <w:pPr>
        <w:ind w:left="15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08A43F6">
      <w:start w:val="1"/>
      <w:numFmt w:val="lowerRoman"/>
      <w:lvlText w:val="%3"/>
      <w:lvlJc w:val="left"/>
      <w:pPr>
        <w:ind w:left="22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F6EDA8E">
      <w:start w:val="1"/>
      <w:numFmt w:val="decimal"/>
      <w:lvlText w:val="%4"/>
      <w:lvlJc w:val="left"/>
      <w:pPr>
        <w:ind w:left="29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DB66D6E">
      <w:start w:val="1"/>
      <w:numFmt w:val="lowerLetter"/>
      <w:lvlText w:val="%5"/>
      <w:lvlJc w:val="left"/>
      <w:pPr>
        <w:ind w:left="36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A920D28">
      <w:start w:val="1"/>
      <w:numFmt w:val="lowerRoman"/>
      <w:lvlText w:val="%6"/>
      <w:lvlJc w:val="left"/>
      <w:pPr>
        <w:ind w:left="43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15E8C40A">
      <w:start w:val="1"/>
      <w:numFmt w:val="decimal"/>
      <w:lvlText w:val="%7"/>
      <w:lvlJc w:val="left"/>
      <w:pPr>
        <w:ind w:left="51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ECC4550">
      <w:start w:val="1"/>
      <w:numFmt w:val="lowerLetter"/>
      <w:lvlText w:val="%8"/>
      <w:lvlJc w:val="left"/>
      <w:pPr>
        <w:ind w:left="58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B103B92">
      <w:start w:val="1"/>
      <w:numFmt w:val="lowerRoman"/>
      <w:lvlText w:val="%9"/>
      <w:lvlJc w:val="left"/>
      <w:pPr>
        <w:ind w:left="65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73" w15:restartNumberingAfterBreak="0">
    <w:nsid w:val="69D60F72"/>
    <w:multiLevelType w:val="hybridMultilevel"/>
    <w:tmpl w:val="981C0BDE"/>
    <w:lvl w:ilvl="0" w:tplc="C6787E04">
      <w:start w:val="1"/>
      <w:numFmt w:val="bullet"/>
      <w:lvlText w:val="•"/>
      <w:lvlJc w:val="left"/>
      <w:pPr>
        <w:ind w:left="560" w:hanging="300"/>
      </w:pPr>
    </w:lvl>
    <w:lvl w:ilvl="1" w:tplc="C2F83266">
      <w:numFmt w:val="decimal"/>
      <w:lvlText w:val=""/>
      <w:lvlJc w:val="left"/>
      <w:pPr>
        <w:ind w:left="0" w:firstLine="0"/>
      </w:pPr>
    </w:lvl>
    <w:lvl w:ilvl="2" w:tplc="D2CC8098">
      <w:numFmt w:val="decimal"/>
      <w:lvlText w:val=""/>
      <w:lvlJc w:val="left"/>
      <w:pPr>
        <w:ind w:left="0" w:firstLine="0"/>
      </w:pPr>
    </w:lvl>
    <w:lvl w:ilvl="3" w:tplc="EC867BA6">
      <w:numFmt w:val="decimal"/>
      <w:lvlText w:val=""/>
      <w:lvlJc w:val="left"/>
      <w:pPr>
        <w:ind w:left="0" w:firstLine="0"/>
      </w:pPr>
    </w:lvl>
    <w:lvl w:ilvl="4" w:tplc="0220FBA6">
      <w:numFmt w:val="decimal"/>
      <w:lvlText w:val=""/>
      <w:lvlJc w:val="left"/>
      <w:pPr>
        <w:ind w:left="0" w:firstLine="0"/>
      </w:pPr>
    </w:lvl>
    <w:lvl w:ilvl="5" w:tplc="914C7B68">
      <w:numFmt w:val="decimal"/>
      <w:lvlText w:val=""/>
      <w:lvlJc w:val="left"/>
      <w:pPr>
        <w:ind w:left="0" w:firstLine="0"/>
      </w:pPr>
    </w:lvl>
    <w:lvl w:ilvl="6" w:tplc="D36EA844">
      <w:numFmt w:val="decimal"/>
      <w:lvlText w:val=""/>
      <w:lvlJc w:val="left"/>
      <w:pPr>
        <w:ind w:left="0" w:firstLine="0"/>
      </w:pPr>
    </w:lvl>
    <w:lvl w:ilvl="7" w:tplc="D0A021CA">
      <w:numFmt w:val="decimal"/>
      <w:lvlText w:val=""/>
      <w:lvlJc w:val="left"/>
      <w:pPr>
        <w:ind w:left="0" w:firstLine="0"/>
      </w:pPr>
    </w:lvl>
    <w:lvl w:ilvl="8" w:tplc="BA2012D2">
      <w:numFmt w:val="decimal"/>
      <w:lvlText w:val=""/>
      <w:lvlJc w:val="left"/>
      <w:pPr>
        <w:ind w:left="0" w:firstLine="0"/>
      </w:pPr>
    </w:lvl>
  </w:abstractNum>
  <w:abstractNum w:abstractNumId="74" w15:restartNumberingAfterBreak="0">
    <w:nsid w:val="69EB2D39"/>
    <w:multiLevelType w:val="hybridMultilevel"/>
    <w:tmpl w:val="459499F0"/>
    <w:lvl w:ilvl="0" w:tplc="0B0641EE">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BB07B1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3B7EDE70">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BD690D0">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0A2311A">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4B6951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655AC8C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D9C0838">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8FB6D2F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75" w15:restartNumberingAfterBreak="0">
    <w:nsid w:val="69F058E9"/>
    <w:multiLevelType w:val="hybridMultilevel"/>
    <w:tmpl w:val="D7741FAC"/>
    <w:lvl w:ilvl="0" w:tplc="4DBCB7E6">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8E4056A">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EB0ACF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A00EA24">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5B06EAA">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348D026">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E68CC8A">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13055FE">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9008418">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76" w15:restartNumberingAfterBreak="0">
    <w:nsid w:val="6A7E3688"/>
    <w:multiLevelType w:val="hybridMultilevel"/>
    <w:tmpl w:val="6332DD50"/>
    <w:lvl w:ilvl="0" w:tplc="07747038">
      <w:start w:val="1"/>
      <w:numFmt w:val="decimal"/>
      <w:lvlText w:val="%1."/>
      <w:lvlJc w:val="left"/>
      <w:pPr>
        <w:ind w:left="2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6104E1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7503DF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5060AD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0A0421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2164C8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6E498B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81C69C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302A78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7" w15:restartNumberingAfterBreak="0">
    <w:nsid w:val="71866146"/>
    <w:multiLevelType w:val="hybridMultilevel"/>
    <w:tmpl w:val="21089A72"/>
    <w:lvl w:ilvl="0" w:tplc="960A62FA">
      <w:start w:val="1"/>
      <w:numFmt w:val="decimal"/>
      <w:lvlText w:val="%1."/>
      <w:lvlJc w:val="left"/>
      <w:pPr>
        <w:ind w:left="7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A6EB98A">
      <w:start w:val="1"/>
      <w:numFmt w:val="lowerLetter"/>
      <w:lvlText w:val="%2"/>
      <w:lvlJc w:val="left"/>
      <w:pPr>
        <w:ind w:left="15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566ABD08">
      <w:start w:val="1"/>
      <w:numFmt w:val="lowerRoman"/>
      <w:lvlText w:val="%3"/>
      <w:lvlJc w:val="left"/>
      <w:pPr>
        <w:ind w:left="22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81AE5F0">
      <w:start w:val="1"/>
      <w:numFmt w:val="decimal"/>
      <w:lvlText w:val="%4"/>
      <w:lvlJc w:val="left"/>
      <w:pPr>
        <w:ind w:left="29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1AEB942">
      <w:start w:val="1"/>
      <w:numFmt w:val="lowerLetter"/>
      <w:lvlText w:val="%5"/>
      <w:lvlJc w:val="left"/>
      <w:pPr>
        <w:ind w:left="36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D2C2184C">
      <w:start w:val="1"/>
      <w:numFmt w:val="lowerRoman"/>
      <w:lvlText w:val="%6"/>
      <w:lvlJc w:val="left"/>
      <w:pPr>
        <w:ind w:left="43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476BB5C">
      <w:start w:val="1"/>
      <w:numFmt w:val="decimal"/>
      <w:lvlText w:val="%7"/>
      <w:lvlJc w:val="left"/>
      <w:pPr>
        <w:ind w:left="51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E9068D8">
      <w:start w:val="1"/>
      <w:numFmt w:val="lowerLetter"/>
      <w:lvlText w:val="%8"/>
      <w:lvlJc w:val="left"/>
      <w:pPr>
        <w:ind w:left="58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A54CD948">
      <w:start w:val="1"/>
      <w:numFmt w:val="lowerRoman"/>
      <w:lvlText w:val="%9"/>
      <w:lvlJc w:val="left"/>
      <w:pPr>
        <w:ind w:left="65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78" w15:restartNumberingAfterBreak="0">
    <w:nsid w:val="71E652AB"/>
    <w:multiLevelType w:val="hybridMultilevel"/>
    <w:tmpl w:val="430A5002"/>
    <w:lvl w:ilvl="0" w:tplc="D04EEE0C">
      <w:start w:val="1"/>
      <w:numFmt w:val="bullet"/>
      <w:lvlText w:val="•"/>
      <w:lvlJc w:val="left"/>
      <w:pPr>
        <w:ind w:left="560" w:hanging="300"/>
      </w:pPr>
    </w:lvl>
    <w:lvl w:ilvl="1" w:tplc="CA2802F0">
      <w:numFmt w:val="decimal"/>
      <w:lvlText w:val=""/>
      <w:lvlJc w:val="left"/>
      <w:pPr>
        <w:ind w:left="0" w:firstLine="0"/>
      </w:pPr>
    </w:lvl>
    <w:lvl w:ilvl="2" w:tplc="F62696E0">
      <w:numFmt w:val="decimal"/>
      <w:lvlText w:val=""/>
      <w:lvlJc w:val="left"/>
      <w:pPr>
        <w:ind w:left="0" w:firstLine="0"/>
      </w:pPr>
    </w:lvl>
    <w:lvl w:ilvl="3" w:tplc="84A2BF5A">
      <w:numFmt w:val="decimal"/>
      <w:lvlText w:val=""/>
      <w:lvlJc w:val="left"/>
      <w:pPr>
        <w:ind w:left="0" w:firstLine="0"/>
      </w:pPr>
    </w:lvl>
    <w:lvl w:ilvl="4" w:tplc="6E401A6C">
      <w:numFmt w:val="decimal"/>
      <w:lvlText w:val=""/>
      <w:lvlJc w:val="left"/>
      <w:pPr>
        <w:ind w:left="0" w:firstLine="0"/>
      </w:pPr>
    </w:lvl>
    <w:lvl w:ilvl="5" w:tplc="1F149786">
      <w:numFmt w:val="decimal"/>
      <w:lvlText w:val=""/>
      <w:lvlJc w:val="left"/>
      <w:pPr>
        <w:ind w:left="0" w:firstLine="0"/>
      </w:pPr>
    </w:lvl>
    <w:lvl w:ilvl="6" w:tplc="66C06A48">
      <w:numFmt w:val="decimal"/>
      <w:lvlText w:val=""/>
      <w:lvlJc w:val="left"/>
      <w:pPr>
        <w:ind w:left="0" w:firstLine="0"/>
      </w:pPr>
    </w:lvl>
    <w:lvl w:ilvl="7" w:tplc="ADB8DF4E">
      <w:numFmt w:val="decimal"/>
      <w:lvlText w:val=""/>
      <w:lvlJc w:val="left"/>
      <w:pPr>
        <w:ind w:left="0" w:firstLine="0"/>
      </w:pPr>
    </w:lvl>
    <w:lvl w:ilvl="8" w:tplc="7144977C">
      <w:numFmt w:val="decimal"/>
      <w:lvlText w:val=""/>
      <w:lvlJc w:val="left"/>
      <w:pPr>
        <w:ind w:left="0" w:firstLine="0"/>
      </w:pPr>
    </w:lvl>
  </w:abstractNum>
  <w:abstractNum w:abstractNumId="79" w15:restartNumberingAfterBreak="0">
    <w:nsid w:val="7417644B"/>
    <w:multiLevelType w:val="hybridMultilevel"/>
    <w:tmpl w:val="C43E0CE4"/>
    <w:lvl w:ilvl="0" w:tplc="C77EE5AC">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D68CC40">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D14599E">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034B21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83E8506">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BB888D6">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056BD9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8CE2012">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DC36A934">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80" w15:restartNumberingAfterBreak="0">
    <w:nsid w:val="744D034F"/>
    <w:multiLevelType w:val="hybridMultilevel"/>
    <w:tmpl w:val="27C03CD4"/>
    <w:lvl w:ilvl="0" w:tplc="FF68C23C">
      <w:start w:val="1"/>
      <w:numFmt w:val="bullet"/>
      <w:lvlText w:val="*"/>
      <w:lvlJc w:val="left"/>
      <w:pPr>
        <w:ind w:left="13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6120490">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7F9E4EE6">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31E6080">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40A0F08">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8EE8EAE">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508EDF7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C54C83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50EA48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81" w15:restartNumberingAfterBreak="0">
    <w:nsid w:val="74BF212C"/>
    <w:multiLevelType w:val="hybridMultilevel"/>
    <w:tmpl w:val="984E861A"/>
    <w:lvl w:ilvl="0" w:tplc="09E02DC2">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F950005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C2CBC10">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33A0290">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C125FE8">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B570083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494A2D0E">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DB6119C">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DB58448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82" w15:restartNumberingAfterBreak="0">
    <w:nsid w:val="770E29FD"/>
    <w:multiLevelType w:val="hybridMultilevel"/>
    <w:tmpl w:val="987AED0C"/>
    <w:lvl w:ilvl="0" w:tplc="A83C9E9C">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122D0D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B002342">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2FA596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2A02536">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3D28384">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CE1A4ACE">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AFE8EDE">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833052A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83" w15:restartNumberingAfterBreak="0">
    <w:nsid w:val="77B707D0"/>
    <w:multiLevelType w:val="hybridMultilevel"/>
    <w:tmpl w:val="B900B77A"/>
    <w:lvl w:ilvl="0" w:tplc="7000453C">
      <w:start w:val="1"/>
      <w:numFmt w:val="bullet"/>
      <w:lvlText w:val="•"/>
      <w:lvlJc w:val="left"/>
      <w:pPr>
        <w:ind w:left="560" w:hanging="300"/>
      </w:pPr>
    </w:lvl>
    <w:lvl w:ilvl="1" w:tplc="96AA63D4">
      <w:numFmt w:val="decimal"/>
      <w:lvlText w:val=""/>
      <w:lvlJc w:val="left"/>
      <w:pPr>
        <w:ind w:left="0" w:firstLine="0"/>
      </w:pPr>
    </w:lvl>
    <w:lvl w:ilvl="2" w:tplc="22962ECA">
      <w:numFmt w:val="decimal"/>
      <w:lvlText w:val=""/>
      <w:lvlJc w:val="left"/>
      <w:pPr>
        <w:ind w:left="0" w:firstLine="0"/>
      </w:pPr>
    </w:lvl>
    <w:lvl w:ilvl="3" w:tplc="7C2C3B9E">
      <w:numFmt w:val="decimal"/>
      <w:lvlText w:val=""/>
      <w:lvlJc w:val="left"/>
      <w:pPr>
        <w:ind w:left="0" w:firstLine="0"/>
      </w:pPr>
    </w:lvl>
    <w:lvl w:ilvl="4" w:tplc="97D0A476">
      <w:numFmt w:val="decimal"/>
      <w:lvlText w:val=""/>
      <w:lvlJc w:val="left"/>
      <w:pPr>
        <w:ind w:left="0" w:firstLine="0"/>
      </w:pPr>
    </w:lvl>
    <w:lvl w:ilvl="5" w:tplc="C57A914A">
      <w:numFmt w:val="decimal"/>
      <w:lvlText w:val=""/>
      <w:lvlJc w:val="left"/>
      <w:pPr>
        <w:ind w:left="0" w:firstLine="0"/>
      </w:pPr>
    </w:lvl>
    <w:lvl w:ilvl="6" w:tplc="6E88D23C">
      <w:numFmt w:val="decimal"/>
      <w:lvlText w:val=""/>
      <w:lvlJc w:val="left"/>
      <w:pPr>
        <w:ind w:left="0" w:firstLine="0"/>
      </w:pPr>
    </w:lvl>
    <w:lvl w:ilvl="7" w:tplc="C45EE5A4">
      <w:numFmt w:val="decimal"/>
      <w:lvlText w:val=""/>
      <w:lvlJc w:val="left"/>
      <w:pPr>
        <w:ind w:left="0" w:firstLine="0"/>
      </w:pPr>
    </w:lvl>
    <w:lvl w:ilvl="8" w:tplc="88EC4DFC">
      <w:numFmt w:val="decimal"/>
      <w:lvlText w:val=""/>
      <w:lvlJc w:val="left"/>
      <w:pPr>
        <w:ind w:left="0" w:firstLine="0"/>
      </w:pPr>
    </w:lvl>
  </w:abstractNum>
  <w:abstractNum w:abstractNumId="84" w15:restartNumberingAfterBreak="0">
    <w:nsid w:val="78193626"/>
    <w:multiLevelType w:val="hybridMultilevel"/>
    <w:tmpl w:val="8F427E62"/>
    <w:lvl w:ilvl="0" w:tplc="0FC41BA0">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2CEC80C">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2E5032C4">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E286D57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600B27A">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5BEBA2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5A7A8A9E">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FFA4142">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D7E6323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85" w15:restartNumberingAfterBreak="0">
    <w:nsid w:val="799B023C"/>
    <w:multiLevelType w:val="hybridMultilevel"/>
    <w:tmpl w:val="6A1042F8"/>
    <w:lvl w:ilvl="0" w:tplc="A794635A">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E8433D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DFAC272">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660D874">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D76D06E">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A2886A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5E9AA4A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A42FBC2">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C9903D2C">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86" w15:restartNumberingAfterBreak="0">
    <w:nsid w:val="7B681C3E"/>
    <w:multiLevelType w:val="hybridMultilevel"/>
    <w:tmpl w:val="6B98266A"/>
    <w:lvl w:ilvl="0" w:tplc="2354AC74">
      <w:start w:val="1"/>
      <w:numFmt w:val="decimal"/>
      <w:lvlText w:val="%1."/>
      <w:lvlJc w:val="left"/>
      <w:pPr>
        <w:ind w:left="282"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1" w:tplc="619E4488">
      <w:start w:val="1"/>
      <w:numFmt w:val="lowerLetter"/>
      <w:lvlText w:val="%2"/>
      <w:lvlJc w:val="left"/>
      <w:pPr>
        <w:ind w:left="108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2" w:tplc="9BA696DA">
      <w:start w:val="1"/>
      <w:numFmt w:val="lowerRoman"/>
      <w:lvlText w:val="%3"/>
      <w:lvlJc w:val="left"/>
      <w:pPr>
        <w:ind w:left="180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3" w:tplc="D1A40A66">
      <w:start w:val="1"/>
      <w:numFmt w:val="decimal"/>
      <w:lvlText w:val="%4"/>
      <w:lvlJc w:val="left"/>
      <w:pPr>
        <w:ind w:left="252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4" w:tplc="25EC20D2">
      <w:start w:val="1"/>
      <w:numFmt w:val="lowerLetter"/>
      <w:lvlText w:val="%5"/>
      <w:lvlJc w:val="left"/>
      <w:pPr>
        <w:ind w:left="324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5" w:tplc="919A40BE">
      <w:start w:val="1"/>
      <w:numFmt w:val="lowerRoman"/>
      <w:lvlText w:val="%6"/>
      <w:lvlJc w:val="left"/>
      <w:pPr>
        <w:ind w:left="396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6" w:tplc="262810E8">
      <w:start w:val="1"/>
      <w:numFmt w:val="decimal"/>
      <w:lvlText w:val="%7"/>
      <w:lvlJc w:val="left"/>
      <w:pPr>
        <w:ind w:left="468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7" w:tplc="FAC4B47A">
      <w:start w:val="1"/>
      <w:numFmt w:val="lowerLetter"/>
      <w:lvlText w:val="%8"/>
      <w:lvlJc w:val="left"/>
      <w:pPr>
        <w:ind w:left="540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lvl w:ilvl="8" w:tplc="1EDC3A28">
      <w:start w:val="1"/>
      <w:numFmt w:val="lowerRoman"/>
      <w:lvlText w:val="%9"/>
      <w:lvlJc w:val="left"/>
      <w:pPr>
        <w:ind w:left="6120" w:firstLine="0"/>
      </w:pPr>
      <w:rPr>
        <w:rFonts w:ascii="Arial" w:eastAsia="Arial" w:hAnsi="Arial" w:cs="Arial"/>
        <w:b w:val="0"/>
        <w:i w:val="0"/>
        <w:strike w:val="0"/>
        <w:dstrike w:val="0"/>
        <w:color w:val="1F1F1F"/>
        <w:sz w:val="24"/>
        <w:szCs w:val="24"/>
        <w:u w:val="none" w:color="000000"/>
        <w:effect w:val="none"/>
        <w:bdr w:val="none" w:sz="0" w:space="0" w:color="auto" w:frame="1"/>
        <w:vertAlign w:val="baseline"/>
      </w:rPr>
    </w:lvl>
  </w:abstractNum>
  <w:abstractNum w:abstractNumId="87" w15:restartNumberingAfterBreak="0">
    <w:nsid w:val="7C3C6259"/>
    <w:multiLevelType w:val="hybridMultilevel"/>
    <w:tmpl w:val="FF9EFC0C"/>
    <w:lvl w:ilvl="0" w:tplc="E304D732">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53CF852">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2265BFA">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8F60E7A">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5CC7840">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846F354">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B909380">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DF08A3C">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F98B41C">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8" w15:restartNumberingAfterBreak="0">
    <w:nsid w:val="7C466821"/>
    <w:multiLevelType w:val="hybridMultilevel"/>
    <w:tmpl w:val="E9589D0E"/>
    <w:lvl w:ilvl="0" w:tplc="B5AE655A">
      <w:start w:val="1"/>
      <w:numFmt w:val="bullet"/>
      <w:lvlText w:val="•"/>
      <w:lvlJc w:val="left"/>
      <w:pPr>
        <w:ind w:left="282"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1" w:tplc="B69029D2">
      <w:start w:val="1"/>
      <w:numFmt w:val="bullet"/>
      <w:lvlText w:val="o"/>
      <w:lvlJc w:val="left"/>
      <w:pPr>
        <w:ind w:left="10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2" w:tplc="A282E0DC">
      <w:start w:val="1"/>
      <w:numFmt w:val="bullet"/>
      <w:lvlText w:val="▪"/>
      <w:lvlJc w:val="left"/>
      <w:pPr>
        <w:ind w:left="18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3" w:tplc="D220BF7E">
      <w:start w:val="1"/>
      <w:numFmt w:val="bullet"/>
      <w:lvlText w:val="•"/>
      <w:lvlJc w:val="left"/>
      <w:pPr>
        <w:ind w:left="25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4" w:tplc="DB5CD316">
      <w:start w:val="1"/>
      <w:numFmt w:val="bullet"/>
      <w:lvlText w:val="o"/>
      <w:lvlJc w:val="left"/>
      <w:pPr>
        <w:ind w:left="324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5" w:tplc="6E645F9C">
      <w:start w:val="1"/>
      <w:numFmt w:val="bullet"/>
      <w:lvlText w:val="▪"/>
      <w:lvlJc w:val="left"/>
      <w:pPr>
        <w:ind w:left="396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6" w:tplc="7CF8A9AC">
      <w:start w:val="1"/>
      <w:numFmt w:val="bullet"/>
      <w:lvlText w:val="•"/>
      <w:lvlJc w:val="left"/>
      <w:pPr>
        <w:ind w:left="468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7" w:tplc="D5FCA84C">
      <w:start w:val="1"/>
      <w:numFmt w:val="bullet"/>
      <w:lvlText w:val="o"/>
      <w:lvlJc w:val="left"/>
      <w:pPr>
        <w:ind w:left="540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lvl w:ilvl="8" w:tplc="0284D638">
      <w:start w:val="1"/>
      <w:numFmt w:val="bullet"/>
      <w:lvlText w:val="▪"/>
      <w:lvlJc w:val="left"/>
      <w:pPr>
        <w:ind w:left="6120" w:firstLine="0"/>
      </w:pPr>
      <w:rPr>
        <w:rFonts w:ascii="Calibri" w:eastAsia="Calibri" w:hAnsi="Calibri" w:cs="Calibri"/>
        <w:b w:val="0"/>
        <w:i w:val="0"/>
        <w:strike w:val="0"/>
        <w:dstrike w:val="0"/>
        <w:color w:val="1F1F1F"/>
        <w:sz w:val="24"/>
        <w:szCs w:val="24"/>
        <w:u w:val="none" w:color="000000"/>
        <w:effect w:val="none"/>
        <w:bdr w:val="none" w:sz="0" w:space="0" w:color="auto" w:frame="1"/>
        <w:vertAlign w:val="baseline"/>
      </w:rPr>
    </w:lvl>
  </w:abstractNum>
  <w:abstractNum w:abstractNumId="89" w15:restartNumberingAfterBreak="0">
    <w:nsid w:val="7DA56A02"/>
    <w:multiLevelType w:val="hybridMultilevel"/>
    <w:tmpl w:val="629A447A"/>
    <w:lvl w:ilvl="0" w:tplc="5A1C5E26">
      <w:start w:val="1"/>
      <w:numFmt w:val="decimal"/>
      <w:lvlText w:val="%1."/>
      <w:lvlJc w:val="left"/>
      <w:pPr>
        <w:ind w:left="7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0142534">
      <w:start w:val="1"/>
      <w:numFmt w:val="lowerLetter"/>
      <w:lvlText w:val="%2"/>
      <w:lvlJc w:val="left"/>
      <w:pPr>
        <w:ind w:left="15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A844C6E">
      <w:start w:val="1"/>
      <w:numFmt w:val="lowerRoman"/>
      <w:lvlText w:val="%3"/>
      <w:lvlJc w:val="left"/>
      <w:pPr>
        <w:ind w:left="22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1C27E58">
      <w:start w:val="1"/>
      <w:numFmt w:val="decimal"/>
      <w:lvlText w:val="%4"/>
      <w:lvlJc w:val="left"/>
      <w:pPr>
        <w:ind w:left="29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23C988C">
      <w:start w:val="1"/>
      <w:numFmt w:val="lowerLetter"/>
      <w:lvlText w:val="%5"/>
      <w:lvlJc w:val="left"/>
      <w:pPr>
        <w:ind w:left="36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E16EFA8">
      <w:start w:val="1"/>
      <w:numFmt w:val="lowerRoman"/>
      <w:lvlText w:val="%6"/>
      <w:lvlJc w:val="left"/>
      <w:pPr>
        <w:ind w:left="43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CDE0DF6">
      <w:start w:val="1"/>
      <w:numFmt w:val="decimal"/>
      <w:lvlText w:val="%7"/>
      <w:lvlJc w:val="left"/>
      <w:pPr>
        <w:ind w:left="51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F566860">
      <w:start w:val="1"/>
      <w:numFmt w:val="lowerLetter"/>
      <w:lvlText w:val="%8"/>
      <w:lvlJc w:val="left"/>
      <w:pPr>
        <w:ind w:left="58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873CA7B0">
      <w:start w:val="1"/>
      <w:numFmt w:val="lowerRoman"/>
      <w:lvlText w:val="%9"/>
      <w:lvlJc w:val="left"/>
      <w:pPr>
        <w:ind w:left="65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90" w15:restartNumberingAfterBreak="0">
    <w:nsid w:val="7E3A5E20"/>
    <w:multiLevelType w:val="hybridMultilevel"/>
    <w:tmpl w:val="82B6F5B8"/>
    <w:lvl w:ilvl="0" w:tplc="3F9EE914">
      <w:start w:val="1"/>
      <w:numFmt w:val="decimal"/>
      <w:lvlText w:val="%1."/>
      <w:lvlJc w:val="left"/>
      <w:pPr>
        <w:ind w:left="69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54AA708">
      <w:start w:val="1"/>
      <w:numFmt w:val="lowerLetter"/>
      <w:lvlText w:val="%2"/>
      <w:lvlJc w:val="left"/>
      <w:pPr>
        <w:ind w:left="15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908847D0">
      <w:start w:val="1"/>
      <w:numFmt w:val="lowerRoman"/>
      <w:lvlText w:val="%3"/>
      <w:lvlJc w:val="left"/>
      <w:pPr>
        <w:ind w:left="22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42AEB2C">
      <w:start w:val="1"/>
      <w:numFmt w:val="decimal"/>
      <w:lvlText w:val="%4"/>
      <w:lvlJc w:val="left"/>
      <w:pPr>
        <w:ind w:left="29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874074E">
      <w:start w:val="1"/>
      <w:numFmt w:val="lowerLetter"/>
      <w:lvlText w:val="%5"/>
      <w:lvlJc w:val="left"/>
      <w:pPr>
        <w:ind w:left="36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9468DA2">
      <w:start w:val="1"/>
      <w:numFmt w:val="lowerRoman"/>
      <w:lvlText w:val="%6"/>
      <w:lvlJc w:val="left"/>
      <w:pPr>
        <w:ind w:left="43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2822FEC">
      <w:start w:val="1"/>
      <w:numFmt w:val="decimal"/>
      <w:lvlText w:val="%7"/>
      <w:lvlJc w:val="left"/>
      <w:pPr>
        <w:ind w:left="51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074333C">
      <w:start w:val="1"/>
      <w:numFmt w:val="lowerLetter"/>
      <w:lvlText w:val="%8"/>
      <w:lvlJc w:val="left"/>
      <w:pPr>
        <w:ind w:left="58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68283A6">
      <w:start w:val="1"/>
      <w:numFmt w:val="lowerRoman"/>
      <w:lvlText w:val="%9"/>
      <w:lvlJc w:val="left"/>
      <w:pPr>
        <w:ind w:left="65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91" w15:restartNumberingAfterBreak="0">
    <w:nsid w:val="7E641BA2"/>
    <w:multiLevelType w:val="hybridMultilevel"/>
    <w:tmpl w:val="9ED0054C"/>
    <w:lvl w:ilvl="0" w:tplc="7870D44E">
      <w:start w:val="1"/>
      <w:numFmt w:val="bullet"/>
      <w:lvlText w:val="•"/>
      <w:lvlJc w:val="left"/>
      <w:pPr>
        <w:ind w:left="69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696A891C">
      <w:start w:val="1"/>
      <w:numFmt w:val="bullet"/>
      <w:lvlText w:val="o"/>
      <w:lvlJc w:val="left"/>
      <w:pPr>
        <w:ind w:left="1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204AF2E">
      <w:start w:val="1"/>
      <w:numFmt w:val="bullet"/>
      <w:lvlText w:val="▪"/>
      <w:lvlJc w:val="left"/>
      <w:pPr>
        <w:ind w:left="2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F8C64EE6">
      <w:start w:val="1"/>
      <w:numFmt w:val="bullet"/>
      <w:lvlText w:val="•"/>
      <w:lvlJc w:val="left"/>
      <w:pPr>
        <w:ind w:left="29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5CC55C6">
      <w:start w:val="1"/>
      <w:numFmt w:val="bullet"/>
      <w:lvlText w:val="o"/>
      <w:lvlJc w:val="left"/>
      <w:pPr>
        <w:ind w:left="36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C1CDE56">
      <w:start w:val="1"/>
      <w:numFmt w:val="bullet"/>
      <w:lvlText w:val="▪"/>
      <w:lvlJc w:val="left"/>
      <w:pPr>
        <w:ind w:left="43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2454F74C">
      <w:start w:val="1"/>
      <w:numFmt w:val="bullet"/>
      <w:lvlText w:val="•"/>
      <w:lvlJc w:val="left"/>
      <w:pPr>
        <w:ind w:left="51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580F8A8">
      <w:start w:val="1"/>
      <w:numFmt w:val="bullet"/>
      <w:lvlText w:val="o"/>
      <w:lvlJc w:val="left"/>
      <w:pPr>
        <w:ind w:left="58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F8DA8A50">
      <w:start w:val="1"/>
      <w:numFmt w:val="bullet"/>
      <w:lvlText w:val="▪"/>
      <w:lvlJc w:val="left"/>
      <w:pPr>
        <w:ind w:left="65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92" w15:restartNumberingAfterBreak="0">
    <w:nsid w:val="7EBE09D6"/>
    <w:multiLevelType w:val="hybridMultilevel"/>
    <w:tmpl w:val="E2044AF8"/>
    <w:lvl w:ilvl="0" w:tplc="5DD4284C">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C4E8A9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3662EB0">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9E4B89A">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A8630A6">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B1300B06">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442429E">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5AAA3E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CFBE22F8">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93" w15:restartNumberingAfterBreak="0">
    <w:nsid w:val="7F7C0821"/>
    <w:multiLevelType w:val="hybridMultilevel"/>
    <w:tmpl w:val="B2169176"/>
    <w:lvl w:ilvl="0" w:tplc="DC4CD474">
      <w:start w:val="1"/>
      <w:numFmt w:val="bullet"/>
      <w:lvlText w:val="•"/>
      <w:lvlJc w:val="left"/>
      <w:pPr>
        <w:ind w:left="172"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1" w:tplc="20584FB6">
      <w:start w:val="1"/>
      <w:numFmt w:val="bullet"/>
      <w:lvlText w:val="o"/>
      <w:lvlJc w:val="left"/>
      <w:pPr>
        <w:ind w:left="108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2" w:tplc="5D5CEC6C">
      <w:start w:val="1"/>
      <w:numFmt w:val="bullet"/>
      <w:lvlText w:val="▪"/>
      <w:lvlJc w:val="left"/>
      <w:pPr>
        <w:ind w:left="180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3" w:tplc="87206C96">
      <w:start w:val="1"/>
      <w:numFmt w:val="bullet"/>
      <w:lvlText w:val="•"/>
      <w:lvlJc w:val="left"/>
      <w:pPr>
        <w:ind w:left="252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4" w:tplc="102CB8EE">
      <w:start w:val="1"/>
      <w:numFmt w:val="bullet"/>
      <w:lvlText w:val="o"/>
      <w:lvlJc w:val="left"/>
      <w:pPr>
        <w:ind w:left="324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5" w:tplc="018A7708">
      <w:start w:val="1"/>
      <w:numFmt w:val="bullet"/>
      <w:lvlText w:val="▪"/>
      <w:lvlJc w:val="left"/>
      <w:pPr>
        <w:ind w:left="396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6" w:tplc="DDF4648E">
      <w:start w:val="1"/>
      <w:numFmt w:val="bullet"/>
      <w:lvlText w:val="•"/>
      <w:lvlJc w:val="left"/>
      <w:pPr>
        <w:ind w:left="468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7" w:tplc="04E40934">
      <w:start w:val="1"/>
      <w:numFmt w:val="bullet"/>
      <w:lvlText w:val="o"/>
      <w:lvlJc w:val="left"/>
      <w:pPr>
        <w:ind w:left="540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8" w:tplc="8092D364">
      <w:start w:val="1"/>
      <w:numFmt w:val="bullet"/>
      <w:lvlText w:val="▪"/>
      <w:lvlJc w:val="left"/>
      <w:pPr>
        <w:ind w:left="612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abstractNum>
  <w:num w:numId="1" w16cid:durableId="1475754269">
    <w:abstractNumId w:val="45"/>
  </w:num>
  <w:num w:numId="2" w16cid:durableId="1496457348">
    <w:abstractNumId w:val="78"/>
  </w:num>
  <w:num w:numId="3" w16cid:durableId="19820241">
    <w:abstractNumId w:val="64"/>
  </w:num>
  <w:num w:numId="4" w16cid:durableId="318968804">
    <w:abstractNumId w:val="40"/>
  </w:num>
  <w:num w:numId="5" w16cid:durableId="1094785257">
    <w:abstractNumId w:val="57"/>
  </w:num>
  <w:num w:numId="6" w16cid:durableId="1839222804">
    <w:abstractNumId w:val="67"/>
  </w:num>
  <w:num w:numId="7" w16cid:durableId="864253777">
    <w:abstractNumId w:val="91"/>
  </w:num>
  <w:num w:numId="8" w16cid:durableId="16574953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73785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9174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26820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03948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708018">
    <w:abstractNumId w:val="43"/>
  </w:num>
  <w:num w:numId="14" w16cid:durableId="191459115">
    <w:abstractNumId w:val="31"/>
  </w:num>
  <w:num w:numId="15" w16cid:durableId="2009480120">
    <w:abstractNumId w:val="59"/>
  </w:num>
  <w:num w:numId="16" w16cid:durableId="683434892">
    <w:abstractNumId w:val="73"/>
  </w:num>
  <w:num w:numId="17" w16cid:durableId="263922775">
    <w:abstractNumId w:val="83"/>
  </w:num>
  <w:num w:numId="18" w16cid:durableId="1611929793">
    <w:abstractNumId w:val="36"/>
  </w:num>
  <w:num w:numId="19" w16cid:durableId="365835908">
    <w:abstractNumId w:val="60"/>
  </w:num>
  <w:num w:numId="20" w16cid:durableId="1071318427">
    <w:abstractNumId w:val="18"/>
  </w:num>
  <w:num w:numId="21" w16cid:durableId="384716166">
    <w:abstractNumId w:val="2"/>
  </w:num>
  <w:num w:numId="22" w16cid:durableId="188474989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49756196">
    <w:abstractNumId w:val="61"/>
  </w:num>
  <w:num w:numId="24" w16cid:durableId="1375084783">
    <w:abstractNumId w:val="88"/>
  </w:num>
  <w:num w:numId="25" w16cid:durableId="1033724151">
    <w:abstractNumId w:val="71"/>
  </w:num>
  <w:num w:numId="26" w16cid:durableId="46762825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8786406">
    <w:abstractNumId w:val="35"/>
  </w:num>
  <w:num w:numId="28" w16cid:durableId="501044557">
    <w:abstractNumId w:val="19"/>
  </w:num>
  <w:num w:numId="29" w16cid:durableId="180828171">
    <w:abstractNumId w:val="47"/>
  </w:num>
  <w:num w:numId="30" w16cid:durableId="189499971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1204182">
    <w:abstractNumId w:val="17"/>
  </w:num>
  <w:num w:numId="32" w16cid:durableId="421485812">
    <w:abstractNumId w:val="75"/>
  </w:num>
  <w:num w:numId="33" w16cid:durableId="1398698687">
    <w:abstractNumId w:val="82"/>
  </w:num>
  <w:num w:numId="34" w16cid:durableId="1053116054">
    <w:abstractNumId w:val="84"/>
  </w:num>
  <w:num w:numId="35" w16cid:durableId="138618053">
    <w:abstractNumId w:val="25"/>
  </w:num>
  <w:num w:numId="36" w16cid:durableId="50469963">
    <w:abstractNumId w:val="56"/>
  </w:num>
  <w:num w:numId="37" w16cid:durableId="1042748824">
    <w:abstractNumId w:val="21"/>
  </w:num>
  <w:num w:numId="38" w16cid:durableId="1901742260">
    <w:abstractNumId w:val="68"/>
  </w:num>
  <w:num w:numId="39" w16cid:durableId="529756555">
    <w:abstractNumId w:val="58"/>
  </w:num>
  <w:num w:numId="40" w16cid:durableId="1741711288">
    <w:abstractNumId w:val="15"/>
  </w:num>
  <w:num w:numId="41" w16cid:durableId="545023374">
    <w:abstractNumId w:val="92"/>
  </w:num>
  <w:num w:numId="42" w16cid:durableId="750392494">
    <w:abstractNumId w:val="66"/>
  </w:num>
  <w:num w:numId="43" w16cid:durableId="687172790">
    <w:abstractNumId w:val="7"/>
  </w:num>
  <w:num w:numId="44" w16cid:durableId="1815098910">
    <w:abstractNumId w:val="4"/>
  </w:num>
  <w:num w:numId="45" w16cid:durableId="1725135414">
    <w:abstractNumId w:val="93"/>
  </w:num>
  <w:num w:numId="46" w16cid:durableId="14419953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43850709">
    <w:abstractNumId w:val="26"/>
  </w:num>
  <w:num w:numId="48" w16cid:durableId="680276081">
    <w:abstractNumId w:val="48"/>
  </w:num>
  <w:num w:numId="49" w16cid:durableId="199945418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62861722">
    <w:abstractNumId w:val="37"/>
  </w:num>
  <w:num w:numId="51" w16cid:durableId="661198169">
    <w:abstractNumId w:val="85"/>
  </w:num>
  <w:num w:numId="52" w16cid:durableId="861287419">
    <w:abstractNumId w:val="27"/>
  </w:num>
  <w:num w:numId="53" w16cid:durableId="385374668">
    <w:abstractNumId w:val="70"/>
  </w:num>
  <w:num w:numId="54" w16cid:durableId="1863011521">
    <w:abstractNumId w:val="14"/>
  </w:num>
  <w:num w:numId="55" w16cid:durableId="913855476">
    <w:abstractNumId w:val="6"/>
  </w:num>
  <w:num w:numId="56" w16cid:durableId="1425806211">
    <w:abstractNumId w:val="5"/>
  </w:num>
  <w:num w:numId="57" w16cid:durableId="555823094">
    <w:abstractNumId w:val="0"/>
  </w:num>
  <w:num w:numId="58" w16cid:durableId="1891841960">
    <w:abstractNumId w:val="41"/>
  </w:num>
  <w:num w:numId="59" w16cid:durableId="1774547530">
    <w:abstractNumId w:val="1"/>
  </w:num>
  <w:num w:numId="60" w16cid:durableId="32822050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883607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776095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535132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78606761">
    <w:abstractNumId w:val="29"/>
  </w:num>
  <w:num w:numId="65" w16cid:durableId="513493046">
    <w:abstractNumId w:val="13"/>
  </w:num>
  <w:num w:numId="66" w16cid:durableId="340281808">
    <w:abstractNumId w:val="23"/>
  </w:num>
  <w:num w:numId="67" w16cid:durableId="1516076354">
    <w:abstractNumId w:val="30"/>
  </w:num>
  <w:num w:numId="68" w16cid:durableId="1103957776">
    <w:abstractNumId w:val="65"/>
  </w:num>
  <w:num w:numId="69" w16cid:durableId="11242753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676228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986860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093391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707051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6901109">
    <w:abstractNumId w:val="81"/>
  </w:num>
  <w:num w:numId="75" w16cid:durableId="1840727239">
    <w:abstractNumId w:val="28"/>
  </w:num>
  <w:num w:numId="76" w16cid:durableId="296372114">
    <w:abstractNumId w:val="74"/>
  </w:num>
  <w:num w:numId="77" w16cid:durableId="1747726959">
    <w:abstractNumId w:val="44"/>
  </w:num>
  <w:num w:numId="78" w16cid:durableId="702436460">
    <w:abstractNumId w:val="54"/>
  </w:num>
  <w:num w:numId="79" w16cid:durableId="5542018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3941347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8925697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795427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144204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10929921">
    <w:abstractNumId w:val="22"/>
  </w:num>
  <w:num w:numId="85" w16cid:durableId="611865400">
    <w:abstractNumId w:val="11"/>
  </w:num>
  <w:num w:numId="86" w16cid:durableId="1642612361">
    <w:abstractNumId w:val="80"/>
  </w:num>
  <w:num w:numId="87" w16cid:durableId="1051274549">
    <w:abstractNumId w:val="79"/>
  </w:num>
  <w:num w:numId="88" w16cid:durableId="1931546284">
    <w:abstractNumId w:val="50"/>
  </w:num>
  <w:num w:numId="89" w16cid:durableId="9855490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2784602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7894480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5276364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2035941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1038733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43B"/>
    <w:rsid w:val="00043CFC"/>
    <w:rsid w:val="00052980"/>
    <w:rsid w:val="000E46B3"/>
    <w:rsid w:val="00114855"/>
    <w:rsid w:val="00146685"/>
    <w:rsid w:val="00154A74"/>
    <w:rsid w:val="00180DA6"/>
    <w:rsid w:val="001B092D"/>
    <w:rsid w:val="00226AFD"/>
    <w:rsid w:val="00227B7E"/>
    <w:rsid w:val="00266F97"/>
    <w:rsid w:val="002A5BDD"/>
    <w:rsid w:val="0037414E"/>
    <w:rsid w:val="003962FF"/>
    <w:rsid w:val="003B40EB"/>
    <w:rsid w:val="00410026"/>
    <w:rsid w:val="0048223D"/>
    <w:rsid w:val="00501D3E"/>
    <w:rsid w:val="00534248"/>
    <w:rsid w:val="0054477F"/>
    <w:rsid w:val="00557374"/>
    <w:rsid w:val="005E0144"/>
    <w:rsid w:val="00613BFB"/>
    <w:rsid w:val="00622CF7"/>
    <w:rsid w:val="00631844"/>
    <w:rsid w:val="00687855"/>
    <w:rsid w:val="006A025D"/>
    <w:rsid w:val="006B57B2"/>
    <w:rsid w:val="006C419D"/>
    <w:rsid w:val="006D4B30"/>
    <w:rsid w:val="006D5C34"/>
    <w:rsid w:val="006F5A98"/>
    <w:rsid w:val="0073347E"/>
    <w:rsid w:val="0076100D"/>
    <w:rsid w:val="0077055C"/>
    <w:rsid w:val="007E5D77"/>
    <w:rsid w:val="00821266"/>
    <w:rsid w:val="008504B9"/>
    <w:rsid w:val="00876E38"/>
    <w:rsid w:val="00892BF7"/>
    <w:rsid w:val="009062E0"/>
    <w:rsid w:val="00982C5C"/>
    <w:rsid w:val="009909D0"/>
    <w:rsid w:val="00994EE7"/>
    <w:rsid w:val="009B5731"/>
    <w:rsid w:val="009B5FAC"/>
    <w:rsid w:val="009D3446"/>
    <w:rsid w:val="00A42758"/>
    <w:rsid w:val="00A45BCF"/>
    <w:rsid w:val="00A7643B"/>
    <w:rsid w:val="00A9772F"/>
    <w:rsid w:val="00AC331E"/>
    <w:rsid w:val="00B065E9"/>
    <w:rsid w:val="00B374B1"/>
    <w:rsid w:val="00B52AD9"/>
    <w:rsid w:val="00B573B3"/>
    <w:rsid w:val="00B64267"/>
    <w:rsid w:val="00BB5129"/>
    <w:rsid w:val="00BD5E05"/>
    <w:rsid w:val="00CE10A9"/>
    <w:rsid w:val="00CE24EF"/>
    <w:rsid w:val="00D013ED"/>
    <w:rsid w:val="00D5047A"/>
    <w:rsid w:val="00D8551A"/>
    <w:rsid w:val="00DB307A"/>
    <w:rsid w:val="00DC5308"/>
    <w:rsid w:val="00E71475"/>
    <w:rsid w:val="00EB7513"/>
    <w:rsid w:val="00EF1DE4"/>
    <w:rsid w:val="00EF3408"/>
    <w:rsid w:val="00F114D1"/>
    <w:rsid w:val="00F25424"/>
    <w:rsid w:val="00F25FB5"/>
    <w:rsid w:val="00F42CCD"/>
    <w:rsid w:val="00F6535E"/>
    <w:rsid w:val="00F670BF"/>
    <w:rsid w:val="00FA0BE7"/>
    <w:rsid w:val="00FC281A"/>
    <w:rsid w:val="00FD70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B4CFF"/>
  <w15:chartTrackingRefBased/>
  <w15:docId w15:val="{9D364B3B-ABDB-4CAA-B110-E5C5373D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43B"/>
  </w:style>
  <w:style w:type="paragraph" w:styleId="Ttulo1">
    <w:name w:val="heading 1"/>
    <w:basedOn w:val="Normal"/>
    <w:next w:val="Normal"/>
    <w:link w:val="Ttulo1Car"/>
    <w:uiPriority w:val="9"/>
    <w:qFormat/>
    <w:rsid w:val="00A764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764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7643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7643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7643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764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64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64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64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64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764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7643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7643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7643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764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64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64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643B"/>
    <w:rPr>
      <w:rFonts w:eastAsiaTheme="majorEastAsia" w:cstheme="majorBidi"/>
      <w:color w:val="272727" w:themeColor="text1" w:themeTint="D8"/>
    </w:rPr>
  </w:style>
  <w:style w:type="paragraph" w:styleId="Ttulo">
    <w:name w:val="Title"/>
    <w:basedOn w:val="Normal"/>
    <w:next w:val="Normal"/>
    <w:link w:val="TtuloCar"/>
    <w:uiPriority w:val="10"/>
    <w:qFormat/>
    <w:rsid w:val="00A764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64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643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64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643B"/>
    <w:pPr>
      <w:spacing w:before="160"/>
      <w:jc w:val="center"/>
    </w:pPr>
    <w:rPr>
      <w:i/>
      <w:iCs/>
      <w:color w:val="404040" w:themeColor="text1" w:themeTint="BF"/>
    </w:rPr>
  </w:style>
  <w:style w:type="character" w:customStyle="1" w:styleId="CitaCar">
    <w:name w:val="Cita Car"/>
    <w:basedOn w:val="Fuentedeprrafopredeter"/>
    <w:link w:val="Cita"/>
    <w:uiPriority w:val="29"/>
    <w:rsid w:val="00A7643B"/>
    <w:rPr>
      <w:i/>
      <w:iCs/>
      <w:color w:val="404040" w:themeColor="text1" w:themeTint="BF"/>
    </w:rPr>
  </w:style>
  <w:style w:type="paragraph" w:styleId="Prrafodelista">
    <w:name w:val="List Paragraph"/>
    <w:basedOn w:val="Normal"/>
    <w:uiPriority w:val="34"/>
    <w:qFormat/>
    <w:rsid w:val="00A7643B"/>
    <w:pPr>
      <w:ind w:left="720"/>
      <w:contextualSpacing/>
    </w:pPr>
  </w:style>
  <w:style w:type="character" w:styleId="nfasisintenso">
    <w:name w:val="Intense Emphasis"/>
    <w:basedOn w:val="Fuentedeprrafopredeter"/>
    <w:uiPriority w:val="21"/>
    <w:qFormat/>
    <w:rsid w:val="00A7643B"/>
    <w:rPr>
      <w:i/>
      <w:iCs/>
      <w:color w:val="0F4761" w:themeColor="accent1" w:themeShade="BF"/>
    </w:rPr>
  </w:style>
  <w:style w:type="paragraph" w:styleId="Citadestacada">
    <w:name w:val="Intense Quote"/>
    <w:basedOn w:val="Normal"/>
    <w:next w:val="Normal"/>
    <w:link w:val="CitadestacadaCar"/>
    <w:uiPriority w:val="30"/>
    <w:qFormat/>
    <w:rsid w:val="00A764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7643B"/>
    <w:rPr>
      <w:i/>
      <w:iCs/>
      <w:color w:val="0F4761" w:themeColor="accent1" w:themeShade="BF"/>
    </w:rPr>
  </w:style>
  <w:style w:type="character" w:styleId="Referenciaintensa">
    <w:name w:val="Intense Reference"/>
    <w:basedOn w:val="Fuentedeprrafopredeter"/>
    <w:uiPriority w:val="32"/>
    <w:qFormat/>
    <w:rsid w:val="00A7643B"/>
    <w:rPr>
      <w:b/>
      <w:bCs/>
      <w:smallCaps/>
      <w:color w:val="0F4761" w:themeColor="accent1" w:themeShade="BF"/>
      <w:spacing w:val="5"/>
    </w:rPr>
  </w:style>
  <w:style w:type="paragraph" w:styleId="Encabezado">
    <w:name w:val="header"/>
    <w:basedOn w:val="Normal"/>
    <w:link w:val="EncabezadoCar"/>
    <w:uiPriority w:val="99"/>
    <w:unhideWhenUsed/>
    <w:rsid w:val="00A764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7643B"/>
  </w:style>
  <w:style w:type="paragraph" w:styleId="Piedepgina">
    <w:name w:val="footer"/>
    <w:basedOn w:val="Normal"/>
    <w:link w:val="PiedepginaCar"/>
    <w:uiPriority w:val="99"/>
    <w:unhideWhenUsed/>
    <w:rsid w:val="00A764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7643B"/>
  </w:style>
  <w:style w:type="character" w:styleId="Hipervnculo">
    <w:name w:val="Hyperlink"/>
    <w:basedOn w:val="Fuentedeprrafopredeter"/>
    <w:uiPriority w:val="99"/>
    <w:unhideWhenUsed/>
    <w:rsid w:val="00CE24EF"/>
    <w:rPr>
      <w:color w:val="467886" w:themeColor="hyperlink"/>
      <w:u w:val="single"/>
    </w:rPr>
  </w:style>
  <w:style w:type="character" w:styleId="Mencinsinresolver">
    <w:name w:val="Unresolved Mention"/>
    <w:basedOn w:val="Fuentedeprrafopredeter"/>
    <w:uiPriority w:val="99"/>
    <w:semiHidden/>
    <w:unhideWhenUsed/>
    <w:rsid w:val="00CE2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women.org/" TargetMode="External"/><Relationship Id="rId13" Type="http://schemas.openxmlformats.org/officeDocument/2006/relationships/hyperlink" Target="https://www.insst.es" TargetMode="External"/><Relationship Id="rId18" Type="http://schemas.openxmlformats.org/officeDocument/2006/relationships/hyperlink" Target="https://www.sanidad.gob.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insst.es/documents/94886/203536/Guia%2Btecnica%2Bpara%2Bla%2Bevaluacion%2By%2Bprevencion%2Bde%2Blos%2Briesgos%2Brelativos%2Ba%2Bla%2Butilizacion%2Bde%2Bequipos%2Bcon%2Bpantallas%2Bde%2Bvisualizacion%2B2021.pdf" TargetMode="External"/><Relationship Id="rId7" Type="http://schemas.openxmlformats.org/officeDocument/2006/relationships/image" Target="media/image1.png"/><Relationship Id="rId12" Type="http://schemas.openxmlformats.org/officeDocument/2006/relationships/hyperlink" Target="https://revistamedica.com/uso-responsable-recursos-servicios-sanitarios/" TargetMode="External"/><Relationship Id="rId17" Type="http://schemas.openxmlformats.org/officeDocument/2006/relationships/hyperlink" Target="https://www.un.org/en/about-us/universal-declaration-of-human-rights?utm_source=chatgpt.co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paho.org/es/temas/igualdad-genero-salud" TargetMode="External"/><Relationship Id="rId20" Type="http://schemas.openxmlformats.org/officeDocument/2006/relationships/hyperlink" Target="https://www.insst.es/documentacion/colecciones-tecnicas/ntp-notas-tecnicas-de-prevencion/26-serie-ntp-numeros-891-a-925-ano-2011/nota-tecnica-de-prevencion-ntp-9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mc.ncbi.nlm.nih.gov/articles/PMC6985526/" TargetMode="External"/><Relationship Id="rId24" Type="http://schemas.openxmlformats.org/officeDocument/2006/relationships/hyperlink" Target="https://riull.ull.es/xmlui/bitstream/handle/915/41620/Relevancia%20de%20la%20Comunicacion%20Asertiva%20de%20las%20Enfermeras%20en%20la%20Adherencia%20Terapeutica%20de%20los%20Pacientes%20con%20EPOC.%20Revision%20Bibliografica.pdf" TargetMode="External"/><Relationship Id="rId5" Type="http://schemas.openxmlformats.org/officeDocument/2006/relationships/footnotes" Target="footnotes.xml"/><Relationship Id="rId15" Type="http://schemas.openxmlformats.org/officeDocument/2006/relationships/hyperlink" Target="https://www.who.int/es/news-room/fact-sheets/detail/human-rights-and-health?utm_source=chatgpt.com" TargetMode="External"/><Relationship Id="rId23" Type="http://schemas.openxmlformats.org/officeDocument/2006/relationships/hyperlink" Target="https://www.scielo.org.mx/scielo.php?pid=S0301-696X2023000100001&amp;script=sci_arttext" TargetMode="External"/><Relationship Id="rId10" Type="http://schemas.openxmlformats.org/officeDocument/2006/relationships/hyperlink" Target="https://eur-lex.europa.eu/" TargetMode="External"/><Relationship Id="rId19" Type="http://schemas.openxmlformats.org/officeDocument/2006/relationships/hyperlink" Target="https://www.uned.es/universidad/dam/inicio/institucional/gerencia/recursos-humanos/riesgos-laborales/normativa-procedimientos-consejos/NORMATIVA/NORMATIVA-INSST/Guia-tecnica-para-la-evaluacion-y-prevencion-de-los-riesgos-relativos-a-la-manipulacion-manual-de-cargas-2024.pdf" TargetMode="External"/><Relationship Id="rId4" Type="http://schemas.openxmlformats.org/officeDocument/2006/relationships/webSettings" Target="webSettings.xml"/><Relationship Id="rId9" Type="http://schemas.openxmlformats.org/officeDocument/2006/relationships/hyperlink" Target="https://eur-lex.europa.eu/" TargetMode="External"/><Relationship Id="rId14" Type="http://schemas.openxmlformats.org/officeDocument/2006/relationships/hyperlink" Target="https://www.sanidad.gob.es" TargetMode="External"/><Relationship Id="rId22" Type="http://schemas.openxmlformats.org/officeDocument/2006/relationships/hyperlink" Target="https://ciencialatina.org/index.php/cienciala/article/download/1633/2287/"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156</TotalTime>
  <Pages>280</Pages>
  <Words>77540</Words>
  <Characters>465300</Characters>
  <Application>Microsoft Office Word</Application>
  <DocSecurity>0</DocSecurity>
  <Lines>9583</Lines>
  <Paragraphs>2488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suarez</dc:creator>
  <cp:keywords/>
  <dc:description/>
  <cp:lastModifiedBy>sara suarez</cp:lastModifiedBy>
  <cp:revision>67</cp:revision>
  <dcterms:created xsi:type="dcterms:W3CDTF">2026-07-10T08:49:00Z</dcterms:created>
  <dcterms:modified xsi:type="dcterms:W3CDTF">2026-07-21T12:05:00Z</dcterms:modified>
</cp:coreProperties>
</file>